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6595361"/>
    <w:bookmarkStart w:id="1" w:name="_GoBack"/>
    <w:bookmarkEnd w:id="1"/>
    <w:p w:rsidR="00A86E11" w:rsidRDefault="00E136C3">
      <w:pPr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9525</wp:posOffset>
                </wp:positionV>
                <wp:extent cx="1498600" cy="1416050"/>
                <wp:effectExtent l="0" t="0" r="6350" b="0"/>
                <wp:wrapSquare wrapText="bothSides"/>
                <wp:docPr id="1" name="Рисунок 1" descr="INTER_RAO_slogan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NTER_RAO_slogan-01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23521" t="27272" r="54451" b="56699"/>
                        <a:stretch/>
                      </pic:blipFill>
                      <pic:spPr bwMode="auto">
                        <a:xfrm>
                          <a:off x="0" y="0"/>
                          <a:ext cx="1498600" cy="141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181.50pt;mso-position-horizontal:absolute;mso-position-vertical-relative:text;margin-top:0.75pt;mso-position-vertical:absolute;width:118.00pt;height:111.50pt;mso-wrap-distance-left:9.00pt;mso-wrap-distance-top:0.00pt;mso-wrap-distance-right:9.00pt;mso-wrap-distance-bottom:0.00pt;" stroked="f">
                <v:path textboxrect="0,0,0,0"/>
                <w10:wrap type="square"/>
                <v:imagedata r:id="rId17" o:title=""/>
              </v:shape>
            </w:pict>
          </mc:Fallback>
        </mc:AlternateContent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A86E11" w:rsidRDefault="00A86E11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:rsidR="00A86E11" w:rsidRDefault="00E136C3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октября 2024, Москва</w:t>
      </w:r>
    </w:p>
    <w:p w:rsidR="00A86E11" w:rsidRDefault="00E136C3">
      <w:pPr>
        <w:spacing w:before="360" w:after="24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ПАО «Интер РАО» опубликовало </w:t>
      </w:r>
      <w:r>
        <w:rPr>
          <w:rFonts w:ascii="Arial" w:hAnsi="Arial" w:cs="Arial"/>
          <w:b/>
          <w:sz w:val="32"/>
          <w:szCs w:val="32"/>
        </w:rPr>
        <w:br w:type="textWrapping" w:clear="all"/>
        <w:t>отчётность по РСБУ за 9 месяцев 2024 года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ПАО «Интер РАО» опубликовало бухгалтерскую (финансовую) отчётность </w:t>
      </w:r>
      <w:r>
        <w:rPr>
          <w:rFonts w:ascii="Arial" w:eastAsia="Times New Roman" w:hAnsi="Arial" w:cs="Arial"/>
          <w:sz w:val="24"/>
          <w:szCs w:val="24"/>
        </w:rPr>
        <w:br/>
        <w:t>за 9 месяцев 2024 года по российским стандартам бухгалтерского учёта.</w:t>
      </w:r>
    </w:p>
    <w:p w:rsidR="00A86E11" w:rsidRDefault="00A86E11">
      <w:pPr>
        <w:jc w:val="both"/>
        <w:rPr>
          <w:rFonts w:ascii="Arial Narrow" w:eastAsia="Times New Roman" w:hAnsi="Arial Narrow" w:cs="Arial"/>
          <w:b/>
          <w:bCs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551"/>
        <w:gridCol w:w="2410"/>
        <w:gridCol w:w="1383"/>
      </w:tblGrid>
      <w:tr w:rsidR="00A86E11">
        <w:tc>
          <w:tcPr>
            <w:tcW w:w="3227" w:type="dxa"/>
          </w:tcPr>
          <w:p w:rsidR="00A86E11" w:rsidRDefault="00E136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Показатель*</w:t>
            </w:r>
          </w:p>
        </w:tc>
        <w:tc>
          <w:tcPr>
            <w:tcW w:w="2551" w:type="dxa"/>
          </w:tcPr>
          <w:p w:rsidR="00A86E11" w:rsidRDefault="00E136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 месяцев 202</w:t>
            </w:r>
            <w:r>
              <w:rPr>
                <w:rFonts w:ascii="Arial Narrow" w:hAnsi="Arial Narrow" w:cs="Arial"/>
                <w:lang w:val="en-US"/>
              </w:rPr>
              <w:t xml:space="preserve">4 </w:t>
            </w:r>
            <w:r>
              <w:rPr>
                <w:rFonts w:ascii="Arial Narrow" w:hAnsi="Arial Narrow" w:cs="Arial"/>
              </w:rPr>
              <w:t>года</w:t>
            </w:r>
          </w:p>
        </w:tc>
        <w:tc>
          <w:tcPr>
            <w:tcW w:w="2410" w:type="dxa"/>
          </w:tcPr>
          <w:p w:rsidR="00A86E11" w:rsidRDefault="00E136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 месяцев 2023 года</w:t>
            </w:r>
          </w:p>
        </w:tc>
        <w:tc>
          <w:tcPr>
            <w:tcW w:w="1383" w:type="dxa"/>
          </w:tcPr>
          <w:p w:rsidR="00A86E11" w:rsidRDefault="00E136C3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+/-</w:t>
            </w:r>
          </w:p>
        </w:tc>
      </w:tr>
      <w:tr w:rsidR="00A86E11">
        <w:trPr>
          <w:trHeight w:val="322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Выручка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34,9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31,1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12,2%</w:t>
            </w:r>
          </w:p>
        </w:tc>
      </w:tr>
      <w:tr w:rsidR="00A86E11">
        <w:trPr>
          <w:trHeight w:val="415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Себестоимость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28,5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25,1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13,6%</w:t>
            </w:r>
          </w:p>
        </w:tc>
      </w:tr>
      <w:tr w:rsidR="00A86E11">
        <w:trPr>
          <w:trHeight w:val="415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Валовая прибыль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6,4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6,0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6,3%</w:t>
            </w:r>
          </w:p>
        </w:tc>
      </w:tr>
      <w:tr w:rsidR="00A86E11">
        <w:trPr>
          <w:trHeight w:val="415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Убыток от продаж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-4,1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-2,5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61,8%</w:t>
            </w:r>
          </w:p>
        </w:tc>
      </w:tr>
      <w:tr w:rsidR="00A86E11">
        <w:trPr>
          <w:trHeight w:val="415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Чистая прибыль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24,7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4,9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 5,1 раз</w:t>
            </w:r>
          </w:p>
        </w:tc>
      </w:tr>
      <w:tr w:rsidR="00A86E11">
        <w:trPr>
          <w:trHeight w:val="274"/>
        </w:trPr>
        <w:tc>
          <w:tcPr>
            <w:tcW w:w="9571" w:type="dxa"/>
            <w:gridSpan w:val="4"/>
          </w:tcPr>
          <w:p w:rsidR="00A86E11" w:rsidRDefault="00A86E11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A86E11">
        <w:trPr>
          <w:trHeight w:val="171"/>
        </w:trPr>
        <w:tc>
          <w:tcPr>
            <w:tcW w:w="3227" w:type="dxa"/>
          </w:tcPr>
          <w:p w:rsidR="00A86E11" w:rsidRDefault="00A86E11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30 сентября 2024 года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31 декабря 2023 года</w:t>
            </w:r>
          </w:p>
        </w:tc>
        <w:tc>
          <w:tcPr>
            <w:tcW w:w="1383" w:type="dxa"/>
          </w:tcPr>
          <w:p w:rsidR="00A86E11" w:rsidRDefault="00A86E11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A86E11">
        <w:trPr>
          <w:trHeight w:val="486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Совокупные активы</w:t>
            </w:r>
          </w:p>
        </w:tc>
        <w:tc>
          <w:tcPr>
            <w:tcW w:w="2551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773,7</w:t>
            </w:r>
          </w:p>
        </w:tc>
        <w:tc>
          <w:tcPr>
            <w:tcW w:w="2410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790,2</w:t>
            </w:r>
          </w:p>
        </w:tc>
        <w:tc>
          <w:tcPr>
            <w:tcW w:w="1383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-2,1%</w:t>
            </w:r>
          </w:p>
        </w:tc>
      </w:tr>
      <w:tr w:rsidR="00A86E11"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Итого капитал</w:t>
            </w:r>
          </w:p>
        </w:tc>
        <w:tc>
          <w:tcPr>
            <w:tcW w:w="2551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455,8</w:t>
            </w:r>
          </w:p>
        </w:tc>
        <w:tc>
          <w:tcPr>
            <w:tcW w:w="2410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465,0</w:t>
            </w:r>
          </w:p>
        </w:tc>
        <w:tc>
          <w:tcPr>
            <w:tcW w:w="1383" w:type="dxa"/>
          </w:tcPr>
          <w:p w:rsidR="00A86E11" w:rsidRDefault="00E136C3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-2,0%</w:t>
            </w:r>
          </w:p>
        </w:tc>
      </w:tr>
      <w:tr w:rsidR="00A86E11"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Кредиты и займы, включая обязательства по аренде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307,8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309,9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-0,7%</w:t>
            </w:r>
          </w:p>
        </w:tc>
      </w:tr>
      <w:tr w:rsidR="00A86E11">
        <w:trPr>
          <w:trHeight w:val="70"/>
        </w:trPr>
        <w:tc>
          <w:tcPr>
            <w:tcW w:w="3227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Чистый долг**</w:t>
            </w:r>
          </w:p>
        </w:tc>
        <w:tc>
          <w:tcPr>
            <w:tcW w:w="2551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-53,0</w:t>
            </w:r>
          </w:p>
        </w:tc>
        <w:tc>
          <w:tcPr>
            <w:tcW w:w="2410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-81,0</w:t>
            </w:r>
          </w:p>
        </w:tc>
        <w:tc>
          <w:tcPr>
            <w:tcW w:w="1383" w:type="dxa"/>
          </w:tcPr>
          <w:p w:rsidR="00A86E11" w:rsidRDefault="00E136C3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-34,5%</w:t>
            </w:r>
          </w:p>
        </w:tc>
      </w:tr>
    </w:tbl>
    <w:p w:rsidR="00A86E11" w:rsidRDefault="00E136C3">
      <w:pPr>
        <w:spacing w:line="245" w:lineRule="atLeast"/>
        <w:jc w:val="both"/>
        <w:rPr>
          <w:rFonts w:ascii="Tahoma" w:hAnsi="Tahoma" w:cs="Tahoma"/>
          <w:i/>
          <w:iCs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* в млрд рублей, если не указано иное. Относительное отклонение (в %) рассчитано исходя из данных бухгалтерской (финансовой) отчётности (в тыс. рублей). </w:t>
      </w:r>
    </w:p>
    <w:p w:rsidR="00A86E11" w:rsidRDefault="00E136C3">
      <w:pPr>
        <w:spacing w:before="120"/>
        <w:jc w:val="both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** «Краткосрочные кредиты и займы» плюс «Долгосрочные кредиты и займы», включая обязательства по аренде, минус «Денежные средства и их эквиваленты» минус «Краткосрочные финансовые вложения» (в объёме денежных средств, размещённых на депозитных счетах, и долговых ценных бумаг).</w:t>
      </w:r>
    </w:p>
    <w:p w:rsidR="00A86E11" w:rsidRDefault="00A86E11">
      <w:pPr>
        <w:spacing w:line="245" w:lineRule="atLeast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Отчёт о финансовых результатах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</w:rPr>
        <w:t>Выручка ПАО «Инте</w:t>
      </w:r>
      <w:r>
        <w:rPr>
          <w:rFonts w:ascii="Arial" w:eastAsia="Times New Roman" w:hAnsi="Arial" w:cs="Arial"/>
          <w:sz w:val="24"/>
          <w:szCs w:val="24"/>
          <w:highlight w:val="white"/>
        </w:rPr>
        <w:t xml:space="preserve">р РАО» за </w:t>
      </w:r>
      <w:r>
        <w:rPr>
          <w:rFonts w:ascii="Arial" w:eastAsia="Times New Roman" w:hAnsi="Arial" w:cs="Arial"/>
          <w:sz w:val="24"/>
          <w:szCs w:val="24"/>
        </w:rPr>
        <w:t>9 месяцев</w:t>
      </w:r>
      <w:r>
        <w:rPr>
          <w:rFonts w:ascii="Arial" w:eastAsia="Times New Roman" w:hAnsi="Arial" w:cs="Arial"/>
          <w:sz w:val="24"/>
          <w:szCs w:val="24"/>
          <w:highlight w:val="white"/>
        </w:rPr>
        <w:t xml:space="preserve"> 2024 года составила 34,9 млрд рублей, что на 3,8 млрд рублей (12,2%) выше, чем за аналогичный период 2023 года.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t xml:space="preserve">Объём выручки от экспорта электроэнергии составил 21,6 млрд рублей, что </w:t>
      </w:r>
      <w:r>
        <w:rPr>
          <w:rFonts w:ascii="Arial" w:eastAsia="Times New Roman" w:hAnsi="Arial" w:cs="Arial"/>
          <w:sz w:val="24"/>
          <w:szCs w:val="24"/>
          <w:highlight w:val="white"/>
        </w:rPr>
        <w:br/>
        <w:t xml:space="preserve">на 1,2 млрд рублей (6,1%) выше, чем за аналогичный период 2023 года. Увеличение экспортной выручки обусловлено прежде всего ростом цены поставок вследствие увеличения доли поставок в Казахстан в часы контроля мощности.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color w:val="C00000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lastRenderedPageBreak/>
        <w:t xml:space="preserve">Выручка от реализации электроэнергии и мощности на ОРЭМ увеличилась </w:t>
      </w:r>
      <w:r>
        <w:rPr>
          <w:rFonts w:ascii="Arial" w:eastAsia="Times New Roman" w:hAnsi="Arial" w:cs="Arial"/>
          <w:sz w:val="24"/>
          <w:szCs w:val="24"/>
          <w:highlight w:val="white"/>
        </w:rPr>
        <w:br/>
        <w:t xml:space="preserve">на 2,5 млрд рублей (24,3%) и по итогам отчётного периода составила 13,0 млрд рублей. Увеличение выручки обусловлено в основном ростом перетоков между ценовыми зонами и ростом цен продажи электроэнергии в транзитных сечениях.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highlight w:val="white"/>
        </w:rPr>
        <w:t>Себестоимость составила 28,5 млрд рублей, что на 3,4 млрд рублей (13,6%) выше, чем за аналогичный период прошлого года. Совокупный рост затрат обусловлен преимущественно увеличением объёмов перетоков в рамках параллельной работы по направлению Казахстан и ростом объёмов экспорта в часы контроля мощности.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Валовая прибыль составила 6,4 млрд рублей против 6,0 млрд рублей за аналогичный период прошлого года.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color w:val="C00000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t>Коммерческие расходы составили 3,3 млрд рублей, что на 0,7 млрд рублей (24,8%) выше, чем за аналогичный период прошлого года. Изменение показателя в основном обусловлено увеличением поставок в часы контроля</w:t>
      </w:r>
      <w:r>
        <w:rPr>
          <w:rFonts w:ascii="Arial" w:eastAsia="Times New Roman" w:hAnsi="Arial" w:cs="Arial"/>
          <w:sz w:val="24"/>
          <w:szCs w:val="24"/>
        </w:rPr>
        <w:t xml:space="preserve"> мощности</w:t>
      </w:r>
      <w:r>
        <w:rPr>
          <w:rFonts w:ascii="Arial" w:eastAsia="Times New Roman" w:hAnsi="Arial" w:cs="Arial"/>
          <w:sz w:val="24"/>
          <w:szCs w:val="24"/>
          <w:highlight w:val="white"/>
        </w:rPr>
        <w:t>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t xml:space="preserve"> Управле</w:t>
      </w:r>
      <w:r>
        <w:rPr>
          <w:rFonts w:ascii="Arial" w:eastAsia="Times New Roman" w:hAnsi="Arial" w:cs="Arial"/>
          <w:sz w:val="24"/>
          <w:szCs w:val="24"/>
        </w:rPr>
        <w:t xml:space="preserve">нческие расходы увеличились на 1,3 млрд рублей (21,8%) и по итогам отчётного периода составили 7,2 млрд рублей.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Убыток от продаж за 9 месяцев 2024 года составил 4,1 млрд рублей против </w:t>
      </w:r>
      <w:r>
        <w:rPr>
          <w:rFonts w:ascii="Arial" w:eastAsia="Times New Roman" w:hAnsi="Arial" w:cs="Arial"/>
          <w:sz w:val="24"/>
          <w:szCs w:val="24"/>
        </w:rPr>
        <w:br/>
        <w:t>2,5 млрд рублей убытка за аналогичный период 2023 года. При этом стоит отметить положительный финансовый результат от внешнеэкономической деятельности.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Доходы от участия в других организациях по итогам 9 месяцев 2024 года составили 14,3 млрд рублей, что обусловлено получением дивидендных платежей от дочерних обществ.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t xml:space="preserve">Сальдо прочих доходов/расходов (без учёта доходов от участия в других организациях) составило 15,3 млрд рублей против 6,9 млрд рублей за аналогичный период 2023 года. Основное влияние на данный показатель оказало увеличение депозитного портфеля, а также сохранение ключевой ставки ЦБ РФ на высоком уровне в течение 9 месяцев 2024 года.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  <w:highlight w:val="white"/>
        </w:rPr>
      </w:pPr>
      <w:r>
        <w:rPr>
          <w:rFonts w:ascii="Arial" w:eastAsia="Times New Roman" w:hAnsi="Arial" w:cs="Arial"/>
          <w:sz w:val="24"/>
          <w:szCs w:val="24"/>
          <w:highlight w:val="white"/>
        </w:rPr>
        <w:t xml:space="preserve">В результате чистая прибыль по итогам отчётного периода составила 24,7 млрд рублей против 4,9 млрд рублей за аналогичный период 2023 года. </w:t>
      </w:r>
    </w:p>
    <w:p w:rsidR="00A86E11" w:rsidRDefault="00A86E11">
      <w:pPr>
        <w:spacing w:before="120"/>
        <w:ind w:firstLine="709"/>
        <w:jc w:val="both"/>
        <w:rPr>
          <w:rFonts w:ascii="Arial" w:eastAsia="Times New Roman" w:hAnsi="Arial" w:cs="Arial"/>
          <w:color w:val="C00000"/>
          <w:sz w:val="24"/>
          <w:szCs w:val="24"/>
        </w:rPr>
      </w:pP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Бухгалтерский баланс 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Совокупные активы ПАО «Интер РАО» по состоянию на 30 сентября 2024 года по сравнению с 31 декабря 2023 года снизились на 16,5 млрд рублей (2,1%), и составили 773,7 млрд рублей.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Внеоборотные активы увеличились на 22,9 млрд рублей (6,1%) и по итогам отчётного периода составили 399,8 млрд рублей в основном ввиду увеличения прочих внеоборотных активов и долгосрочных финансовых вложений.</w:t>
      </w:r>
    </w:p>
    <w:p w:rsidR="00A86E11" w:rsidRDefault="00E136C3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Оборотные активы снизились на 39,4 млрд рублей (9,5%) и на 30 сентября 2024 года составили 373,9 млрд рублей. Изменение преимущественно обусловлено уменьшением денежных средств и эквивалентов.</w:t>
      </w:r>
    </w:p>
    <w:p w:rsidR="00A86E11" w:rsidRDefault="00E136C3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Долговая нагрузка незначительно снизилась на 2,1 млрд рублей (0,7%) и на конец отчётного периода составила 307,8 млрд рублей. </w:t>
      </w:r>
    </w:p>
    <w:p w:rsidR="00A86E11" w:rsidRDefault="00E136C3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долгосрочных и краткосрочных заёмных средствах в том числе отражены обязательства по аренде с учётом применения стандарта ФСБУ 25/2018.</w:t>
      </w:r>
    </w:p>
    <w:p w:rsidR="00A86E11" w:rsidRDefault="00E136C3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Чистый долг ПАО «Интер РАО» на 30 сентября 2024 года составил </w:t>
      </w:r>
      <w:r w:rsidR="005878D6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минус 53,0 млрд рублей против минус 81,0 млрд рублей на начало года. </w:t>
      </w:r>
    </w:p>
    <w:p w:rsidR="00A86E11" w:rsidRDefault="00E136C3">
      <w:pPr>
        <w:spacing w:before="120" w:line="276" w:lineRule="auto"/>
        <w:ind w:firstLine="709"/>
        <w:jc w:val="both"/>
        <w:rPr>
          <w:rFonts w:ascii="Arial" w:eastAsia="Times New Roman" w:hAnsi="Arial" w:cs="Arial"/>
          <w:color w:val="C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Суммарный объём обязательств (за исключением полученных займов/кредитов, включая обязательства по аренде) по сравнению с началом года снизился на 5,2 млрд рублей (33,9%) и на 30 сентября 2024 года составил 10,1 млрд рублей</w:t>
      </w:r>
      <w:r>
        <w:rPr>
          <w:rFonts w:ascii="Arial" w:eastAsia="Times New Roman" w:hAnsi="Arial" w:cs="Arial"/>
          <w:color w:val="C00000"/>
          <w:sz w:val="24"/>
          <w:szCs w:val="24"/>
        </w:rPr>
        <w:t xml:space="preserve">. </w:t>
      </w:r>
    </w:p>
    <w:p w:rsidR="00A86E11" w:rsidRDefault="00A86E11">
      <w:pPr>
        <w:spacing w:before="120"/>
        <w:ind w:firstLine="709"/>
        <w:jc w:val="both"/>
        <w:rPr>
          <w:rFonts w:ascii="Arial" w:eastAsia="Times New Roman" w:hAnsi="Arial" w:cs="Arial"/>
          <w:color w:val="C00000"/>
          <w:sz w:val="24"/>
          <w:szCs w:val="24"/>
        </w:rPr>
      </w:pPr>
    </w:p>
    <w:p w:rsidR="00A86E11" w:rsidRDefault="00E136C3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#</w:t>
      </w:r>
      <w:r>
        <w:rPr>
          <w:rFonts w:ascii="Tahoma" w:hAnsi="Tahoma" w:cs="Tahoma"/>
          <w:sz w:val="17"/>
          <w:szCs w:val="17"/>
        </w:rPr>
        <w:tab/>
        <w:t>#</w:t>
      </w:r>
      <w:r>
        <w:rPr>
          <w:rFonts w:ascii="Tahoma" w:hAnsi="Tahoma" w:cs="Tahoma"/>
          <w:sz w:val="17"/>
          <w:szCs w:val="17"/>
        </w:rPr>
        <w:tab/>
        <w:t>#</w:t>
      </w:r>
    </w:p>
    <w:p w:rsidR="00A86E11" w:rsidRDefault="00E136C3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>Группа «Интер РАО»</w:t>
      </w:r>
      <w:r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>
        <w:rPr>
          <w:rFonts w:ascii="Tahoma" w:hAnsi="Tahoma" w:cs="Tahoma"/>
          <w:sz w:val="17"/>
          <w:szCs w:val="17"/>
        </w:rPr>
        <w:t>энерготрейдинг</w:t>
      </w:r>
      <w:proofErr w:type="spellEnd"/>
      <w:r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 и энергетическое строительство, отраслевые информационные технологии и др.</w:t>
      </w:r>
      <w:bookmarkEnd w:id="0"/>
    </w:p>
    <w:sectPr w:rsidR="00A86E11">
      <w:footerReference w:type="default" r:id="rId18"/>
      <w:footerReference w:type="first" r:id="rId19"/>
      <w:pgSz w:w="11906" w:h="16838"/>
      <w:pgMar w:top="567" w:right="545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CCA" w:rsidRDefault="00F84CCA">
      <w:r>
        <w:separator/>
      </w:r>
    </w:p>
  </w:endnote>
  <w:endnote w:type="continuationSeparator" w:id="0">
    <w:p w:rsidR="00F84CCA" w:rsidRDefault="00F8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E11" w:rsidRDefault="00A86E1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A86E1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A86E11" w:rsidRDefault="00E136C3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 информационной политики ПАО «Интер РАО»</w:t>
          </w:r>
        </w:p>
        <w:p w:rsidR="00A86E11" w:rsidRDefault="00E136C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A86E11" w:rsidRDefault="00A86E11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E11" w:rsidRDefault="00A86E11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A86E1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A86E11" w:rsidRDefault="00E136C3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A86E11" w:rsidRDefault="00F84CCA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 w:rsidR="00E136C3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E136C3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A86E11" w:rsidRDefault="00A86E11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CCA" w:rsidRDefault="00F84CCA">
      <w:r>
        <w:separator/>
      </w:r>
    </w:p>
  </w:footnote>
  <w:footnote w:type="continuationSeparator" w:id="0">
    <w:p w:rsidR="00F84CCA" w:rsidRDefault="00F84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7F0"/>
    <w:multiLevelType w:val="hybridMultilevel"/>
    <w:tmpl w:val="23AAAE30"/>
    <w:lvl w:ilvl="0" w:tplc="EC9CC5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BA518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FF21E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E280C2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4E437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E4BB7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C90CB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D2870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8C3D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73228"/>
    <w:multiLevelType w:val="hybridMultilevel"/>
    <w:tmpl w:val="D62034A2"/>
    <w:lvl w:ilvl="0" w:tplc="8542CB2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66CC2B1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6B7617D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B02348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7071D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EC43C1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700810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E6409B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AEEC24A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085C55"/>
    <w:multiLevelType w:val="hybridMultilevel"/>
    <w:tmpl w:val="E670D44E"/>
    <w:lvl w:ilvl="0" w:tplc="2C02B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210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A25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B0D8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7658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047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800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8852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789CA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B090F"/>
    <w:multiLevelType w:val="hybridMultilevel"/>
    <w:tmpl w:val="7E46A95E"/>
    <w:lvl w:ilvl="0" w:tplc="FA2C19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5EB0FC">
      <w:start w:val="1"/>
      <w:numFmt w:val="lowerLetter"/>
      <w:lvlText w:val="%2."/>
      <w:lvlJc w:val="left"/>
      <w:pPr>
        <w:ind w:left="1440" w:hanging="360"/>
      </w:pPr>
    </w:lvl>
    <w:lvl w:ilvl="2" w:tplc="357C66FC">
      <w:start w:val="1"/>
      <w:numFmt w:val="lowerRoman"/>
      <w:lvlText w:val="%3."/>
      <w:lvlJc w:val="right"/>
      <w:pPr>
        <w:ind w:left="2160" w:hanging="180"/>
      </w:pPr>
    </w:lvl>
    <w:lvl w:ilvl="3" w:tplc="345E49E6">
      <w:start w:val="1"/>
      <w:numFmt w:val="decimal"/>
      <w:lvlText w:val="%4."/>
      <w:lvlJc w:val="left"/>
      <w:pPr>
        <w:ind w:left="2880" w:hanging="360"/>
      </w:pPr>
    </w:lvl>
    <w:lvl w:ilvl="4" w:tplc="544EBA14">
      <w:start w:val="1"/>
      <w:numFmt w:val="lowerLetter"/>
      <w:lvlText w:val="%5."/>
      <w:lvlJc w:val="left"/>
      <w:pPr>
        <w:ind w:left="3600" w:hanging="360"/>
      </w:pPr>
    </w:lvl>
    <w:lvl w:ilvl="5" w:tplc="4A80A5DA">
      <w:start w:val="1"/>
      <w:numFmt w:val="lowerRoman"/>
      <w:lvlText w:val="%6."/>
      <w:lvlJc w:val="right"/>
      <w:pPr>
        <w:ind w:left="4320" w:hanging="180"/>
      </w:pPr>
    </w:lvl>
    <w:lvl w:ilvl="6" w:tplc="29A869B6">
      <w:start w:val="1"/>
      <w:numFmt w:val="decimal"/>
      <w:lvlText w:val="%7."/>
      <w:lvlJc w:val="left"/>
      <w:pPr>
        <w:ind w:left="5040" w:hanging="360"/>
      </w:pPr>
    </w:lvl>
    <w:lvl w:ilvl="7" w:tplc="F0103644">
      <w:start w:val="1"/>
      <w:numFmt w:val="lowerLetter"/>
      <w:lvlText w:val="%8."/>
      <w:lvlJc w:val="left"/>
      <w:pPr>
        <w:ind w:left="5760" w:hanging="360"/>
      </w:pPr>
    </w:lvl>
    <w:lvl w:ilvl="8" w:tplc="294CA0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20D9"/>
    <w:multiLevelType w:val="hybridMultilevel"/>
    <w:tmpl w:val="CCAEBE7C"/>
    <w:lvl w:ilvl="0" w:tplc="357C602A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9274FAD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C6A24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B7ABF1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112D01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50A106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B3EFC0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FEC48A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AA2E20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62806"/>
    <w:multiLevelType w:val="hybridMultilevel"/>
    <w:tmpl w:val="5B648854"/>
    <w:lvl w:ilvl="0" w:tplc="7F8A424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5FE21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E886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1285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746D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865C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DCF4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DEC0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2890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C38E9"/>
    <w:multiLevelType w:val="hybridMultilevel"/>
    <w:tmpl w:val="E7E49F42"/>
    <w:lvl w:ilvl="0" w:tplc="4DC4ED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DD899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92CF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DA9D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A1D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E80E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2A6C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09C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605E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81BC9"/>
    <w:multiLevelType w:val="hybridMultilevel"/>
    <w:tmpl w:val="5AE0C1D6"/>
    <w:lvl w:ilvl="0" w:tplc="A590073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DC96E26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976998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6A824A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0823C9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C06005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D08A22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6E897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AD404C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B0D528B"/>
    <w:multiLevelType w:val="hybridMultilevel"/>
    <w:tmpl w:val="D674BE1C"/>
    <w:lvl w:ilvl="0" w:tplc="AD02C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70CC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A8A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A833A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2EBEF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400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B4CD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CED0B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3C5C0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E5B0AEE"/>
    <w:multiLevelType w:val="hybridMultilevel"/>
    <w:tmpl w:val="EEE42DB8"/>
    <w:lvl w:ilvl="0" w:tplc="4482B252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960012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79CEB8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EFA8C9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592E8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7CC728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A0086F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E6E92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D30F4A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41001DB"/>
    <w:multiLevelType w:val="hybridMultilevel"/>
    <w:tmpl w:val="AFCC9EEC"/>
    <w:lvl w:ilvl="0" w:tplc="5B8CA3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945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408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84C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F6CE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C45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65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66E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BA9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46D42"/>
    <w:multiLevelType w:val="hybridMultilevel"/>
    <w:tmpl w:val="860E3DDC"/>
    <w:lvl w:ilvl="0" w:tplc="89065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1201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3C1F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760F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283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8E62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861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645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0AA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F5C1A"/>
    <w:multiLevelType w:val="hybridMultilevel"/>
    <w:tmpl w:val="2070E1D8"/>
    <w:lvl w:ilvl="0" w:tplc="CE669E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16F5B0">
      <w:start w:val="1"/>
      <w:numFmt w:val="lowerLetter"/>
      <w:lvlText w:val="%2."/>
      <w:lvlJc w:val="left"/>
      <w:pPr>
        <w:ind w:left="1440" w:hanging="360"/>
      </w:pPr>
    </w:lvl>
    <w:lvl w:ilvl="2" w:tplc="FD0C57A0">
      <w:start w:val="1"/>
      <w:numFmt w:val="lowerRoman"/>
      <w:lvlText w:val="%3."/>
      <w:lvlJc w:val="right"/>
      <w:pPr>
        <w:ind w:left="2160" w:hanging="180"/>
      </w:pPr>
    </w:lvl>
    <w:lvl w:ilvl="3" w:tplc="29E0D8E0">
      <w:start w:val="1"/>
      <w:numFmt w:val="decimal"/>
      <w:lvlText w:val="%4."/>
      <w:lvlJc w:val="left"/>
      <w:pPr>
        <w:ind w:left="2880" w:hanging="360"/>
      </w:pPr>
    </w:lvl>
    <w:lvl w:ilvl="4" w:tplc="9A0EAA32">
      <w:start w:val="1"/>
      <w:numFmt w:val="lowerLetter"/>
      <w:lvlText w:val="%5."/>
      <w:lvlJc w:val="left"/>
      <w:pPr>
        <w:ind w:left="3600" w:hanging="360"/>
      </w:pPr>
    </w:lvl>
    <w:lvl w:ilvl="5" w:tplc="B47EE432">
      <w:start w:val="1"/>
      <w:numFmt w:val="lowerRoman"/>
      <w:lvlText w:val="%6."/>
      <w:lvlJc w:val="right"/>
      <w:pPr>
        <w:ind w:left="4320" w:hanging="180"/>
      </w:pPr>
    </w:lvl>
    <w:lvl w:ilvl="6" w:tplc="021EA158">
      <w:start w:val="1"/>
      <w:numFmt w:val="decimal"/>
      <w:lvlText w:val="%7."/>
      <w:lvlJc w:val="left"/>
      <w:pPr>
        <w:ind w:left="5040" w:hanging="360"/>
      </w:pPr>
    </w:lvl>
    <w:lvl w:ilvl="7" w:tplc="1D2449FA">
      <w:start w:val="1"/>
      <w:numFmt w:val="lowerLetter"/>
      <w:lvlText w:val="%8."/>
      <w:lvlJc w:val="left"/>
      <w:pPr>
        <w:ind w:left="5760" w:hanging="360"/>
      </w:pPr>
    </w:lvl>
    <w:lvl w:ilvl="8" w:tplc="60A65BC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C47C7"/>
    <w:multiLevelType w:val="hybridMultilevel"/>
    <w:tmpl w:val="AFF2680A"/>
    <w:lvl w:ilvl="0" w:tplc="D8560E4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E48B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6986F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E0A67E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A6605F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E289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561D2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CF2CB7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0449D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7F42C1"/>
    <w:multiLevelType w:val="hybridMultilevel"/>
    <w:tmpl w:val="35C054F2"/>
    <w:lvl w:ilvl="0" w:tplc="3CE4819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B8A084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ACED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EA5A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5CEA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AC96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853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CAA6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C2B0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9B57C3"/>
    <w:multiLevelType w:val="hybridMultilevel"/>
    <w:tmpl w:val="484AC03C"/>
    <w:lvl w:ilvl="0" w:tplc="31562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EA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A6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30D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A4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20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4F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0C9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CAB3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60B3F"/>
    <w:multiLevelType w:val="hybridMultilevel"/>
    <w:tmpl w:val="64FA6810"/>
    <w:lvl w:ilvl="0" w:tplc="ADF29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844D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76EA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E49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006D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0C6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3E91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C0ED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FE33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9806CC"/>
    <w:multiLevelType w:val="hybridMultilevel"/>
    <w:tmpl w:val="CD141878"/>
    <w:lvl w:ilvl="0" w:tplc="121AB5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B82039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3A53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190B76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DE85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8987CA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5C056B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112724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BBA846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2137C"/>
    <w:multiLevelType w:val="hybridMultilevel"/>
    <w:tmpl w:val="83E8BB04"/>
    <w:lvl w:ilvl="0" w:tplc="0DB2DF26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7244F5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2823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5AAA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2A7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0F7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CAD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49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8E98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CB6AEA"/>
    <w:multiLevelType w:val="hybridMultilevel"/>
    <w:tmpl w:val="C4F6CD7C"/>
    <w:lvl w:ilvl="0" w:tplc="9030FE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9AE715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9B6AB9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B963AB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320D1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727BA4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B7CF9C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C6739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F12587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ED1A30"/>
    <w:multiLevelType w:val="hybridMultilevel"/>
    <w:tmpl w:val="CF5EE0DE"/>
    <w:lvl w:ilvl="0" w:tplc="5336ABAE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DBC2421E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9D4567C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3D9CF2C4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119C06EA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616213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42EEEFF0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2B42E18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C0A62DE6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02A47E4"/>
    <w:multiLevelType w:val="hybridMultilevel"/>
    <w:tmpl w:val="7CCE47CA"/>
    <w:lvl w:ilvl="0" w:tplc="6C08C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89D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7AB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90D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CC2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86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23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0B8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C08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0B7B2C"/>
    <w:multiLevelType w:val="hybridMultilevel"/>
    <w:tmpl w:val="2168FDD4"/>
    <w:lvl w:ilvl="0" w:tplc="7A2C53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F6634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AADF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78EE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80D6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DC8B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CA9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C3D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BC0C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8B09ED"/>
    <w:multiLevelType w:val="hybridMultilevel"/>
    <w:tmpl w:val="EBC6C656"/>
    <w:lvl w:ilvl="0" w:tplc="70641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E06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AADF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247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E3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66F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B81A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6F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58CE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3A3727"/>
    <w:multiLevelType w:val="hybridMultilevel"/>
    <w:tmpl w:val="26FE393C"/>
    <w:lvl w:ilvl="0" w:tplc="17B8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E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6A7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6F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87F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A691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4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E23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FC1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2204D"/>
    <w:multiLevelType w:val="hybridMultilevel"/>
    <w:tmpl w:val="BAFAB7B4"/>
    <w:lvl w:ilvl="0" w:tplc="F6362A10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EB420A2C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B134A17E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D21230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CD2B400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F07A128E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54DE3220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46882B12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B7CEF51C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980685D"/>
    <w:multiLevelType w:val="hybridMultilevel"/>
    <w:tmpl w:val="007A894E"/>
    <w:lvl w:ilvl="0" w:tplc="DB560FD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8D2133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A65CC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C6070E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B08469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00C0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8E93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A844C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5D26D1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D0D20BF"/>
    <w:multiLevelType w:val="hybridMultilevel"/>
    <w:tmpl w:val="E9B44602"/>
    <w:lvl w:ilvl="0" w:tplc="3440FED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6BAF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A29B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E643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09F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CA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2EAD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E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52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8058D8"/>
    <w:multiLevelType w:val="hybridMultilevel"/>
    <w:tmpl w:val="313C4DEA"/>
    <w:lvl w:ilvl="0" w:tplc="84A08A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20A0D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CFED8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C4C1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0E83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163F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40AB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41694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18DA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23"/>
  </w:num>
  <w:num w:numId="4">
    <w:abstractNumId w:val="8"/>
  </w:num>
  <w:num w:numId="5">
    <w:abstractNumId w:val="19"/>
  </w:num>
  <w:num w:numId="6">
    <w:abstractNumId w:val="11"/>
  </w:num>
  <w:num w:numId="7">
    <w:abstractNumId w:val="2"/>
  </w:num>
  <w:num w:numId="8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5"/>
  </w:num>
  <w:num w:numId="13">
    <w:abstractNumId w:val="20"/>
  </w:num>
  <w:num w:numId="14">
    <w:abstractNumId w:val="14"/>
  </w:num>
  <w:num w:numId="15">
    <w:abstractNumId w:val="6"/>
  </w:num>
  <w:num w:numId="16">
    <w:abstractNumId w:val="3"/>
  </w:num>
  <w:num w:numId="17">
    <w:abstractNumId w:val="12"/>
  </w:num>
  <w:num w:numId="18">
    <w:abstractNumId w:val="10"/>
  </w:num>
  <w:num w:numId="19">
    <w:abstractNumId w:val="26"/>
  </w:num>
  <w:num w:numId="20">
    <w:abstractNumId w:val="4"/>
  </w:num>
  <w:num w:numId="21">
    <w:abstractNumId w:val="7"/>
  </w:num>
  <w:num w:numId="22">
    <w:abstractNumId w:val="17"/>
  </w:num>
  <w:num w:numId="23">
    <w:abstractNumId w:val="15"/>
  </w:num>
  <w:num w:numId="24">
    <w:abstractNumId w:val="21"/>
  </w:num>
  <w:num w:numId="25">
    <w:abstractNumId w:val="0"/>
  </w:num>
  <w:num w:numId="26">
    <w:abstractNumId w:val="13"/>
  </w:num>
  <w:num w:numId="27">
    <w:abstractNumId w:val="28"/>
  </w:num>
  <w:num w:numId="28">
    <w:abstractNumId w:val="24"/>
  </w:num>
  <w:num w:numId="29">
    <w:abstractNumId w:val="2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E11"/>
    <w:rsid w:val="005878D6"/>
    <w:rsid w:val="00752FF9"/>
    <w:rsid w:val="00A86E11"/>
    <w:rsid w:val="00E136C3"/>
    <w:rsid w:val="00F84CCA"/>
    <w:rsid w:val="00FB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DF6D3-C45A-4091-9933-4666C48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10.jpg"/><Relationship Id="rId2" Type="http://schemas.openxmlformats.org/officeDocument/2006/relationships/customXml" Target="../customXml/item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6.xml><?xml version="1.0" encoding="utf-8"?>
<ds:datastoreItem xmlns:ds="http://schemas.openxmlformats.org/officeDocument/2006/customXml" ds:itemID="{EADC3E51-7049-4B6C-984F-CCF82D5D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Горелов Николай Вячеславович</cp:lastModifiedBy>
  <cp:revision>2</cp:revision>
  <dcterms:created xsi:type="dcterms:W3CDTF">2024-10-24T14:18:00Z</dcterms:created>
  <dcterms:modified xsi:type="dcterms:W3CDTF">2024-10-24T14:18:00Z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