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7DA" w:rsidRDefault="00C52C4E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3A07"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027DA" w:rsidRDefault="00E027DA">
      <w:pPr>
        <w:pBdr>
          <w:bottom w:val="single" w:sz="4" w:space="1" w:color="auto"/>
        </w:pBdr>
        <w:rPr>
          <w:rFonts w:ascii="Tahoma" w:hAnsi="Tahoma" w:cs="Tahoma"/>
          <w:b/>
          <w:i/>
        </w:rPr>
      </w:pPr>
    </w:p>
    <w:p w:rsidR="00E027DA" w:rsidRPr="000276A8" w:rsidRDefault="008A7CA5">
      <w:pPr>
        <w:spacing w:before="240" w:after="24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27</w:t>
      </w:r>
      <w:r w:rsidR="008159D6">
        <w:rPr>
          <w:rFonts w:ascii="Tahoma" w:hAnsi="Tahoma" w:cs="Tahoma"/>
          <w:b/>
          <w:sz w:val="24"/>
          <w:szCs w:val="24"/>
        </w:rPr>
        <w:t xml:space="preserve"> я</w:t>
      </w:r>
      <w:r>
        <w:rPr>
          <w:rFonts w:ascii="Tahoma" w:hAnsi="Tahoma" w:cs="Tahoma"/>
          <w:b/>
          <w:sz w:val="24"/>
          <w:szCs w:val="24"/>
        </w:rPr>
        <w:t>нваря</w:t>
      </w:r>
      <w:r w:rsidR="001F7872" w:rsidRPr="000276A8">
        <w:rPr>
          <w:rFonts w:ascii="Tahoma" w:hAnsi="Tahoma" w:cs="Tahoma"/>
          <w:b/>
          <w:sz w:val="24"/>
          <w:szCs w:val="24"/>
        </w:rPr>
        <w:t xml:space="preserve"> </w:t>
      </w:r>
      <w:r w:rsidR="00C52C4E" w:rsidRPr="000276A8">
        <w:rPr>
          <w:rFonts w:ascii="Tahoma" w:hAnsi="Tahoma" w:cs="Tahoma"/>
          <w:b/>
          <w:sz w:val="24"/>
          <w:szCs w:val="24"/>
        </w:rPr>
        <w:t>202</w:t>
      </w:r>
      <w:r>
        <w:rPr>
          <w:rFonts w:ascii="Tahoma" w:hAnsi="Tahoma" w:cs="Tahoma"/>
          <w:b/>
          <w:sz w:val="24"/>
          <w:szCs w:val="24"/>
        </w:rPr>
        <w:t>4</w:t>
      </w:r>
      <w:r w:rsidR="00C52C4E" w:rsidRPr="000276A8">
        <w:rPr>
          <w:rFonts w:ascii="Tahoma" w:hAnsi="Tahoma" w:cs="Tahoma"/>
          <w:b/>
          <w:sz w:val="24"/>
          <w:szCs w:val="24"/>
        </w:rPr>
        <w:t xml:space="preserve"> г., Москва</w:t>
      </w:r>
      <w:r>
        <w:rPr>
          <w:rFonts w:ascii="Tahoma" w:hAnsi="Tahoma" w:cs="Tahoma"/>
          <w:b/>
          <w:sz w:val="24"/>
          <w:szCs w:val="24"/>
        </w:rPr>
        <w:t>, форум-выставка «Россия»</w:t>
      </w:r>
    </w:p>
    <w:p w:rsidR="00E027DA" w:rsidRPr="000276A8" w:rsidRDefault="00C52C4E">
      <w:pPr>
        <w:spacing w:before="360" w:after="240"/>
        <w:jc w:val="center"/>
        <w:rPr>
          <w:rFonts w:ascii="Tahoma" w:hAnsi="Tahoma" w:cs="Tahoma"/>
          <w:b/>
          <w:sz w:val="32"/>
          <w:szCs w:val="32"/>
        </w:rPr>
      </w:pPr>
      <w:r w:rsidRPr="000276A8">
        <w:rPr>
          <w:rFonts w:ascii="Tahoma" w:hAnsi="Tahoma" w:cs="Tahoma"/>
          <w:b/>
          <w:sz w:val="32"/>
          <w:szCs w:val="32"/>
        </w:rPr>
        <w:t xml:space="preserve">Группа «Интер РАО» </w:t>
      </w:r>
      <w:r w:rsidR="008A7CA5">
        <w:rPr>
          <w:rFonts w:ascii="Tahoma" w:hAnsi="Tahoma" w:cs="Tahoma"/>
          <w:b/>
          <w:sz w:val="32"/>
          <w:szCs w:val="32"/>
        </w:rPr>
        <w:t xml:space="preserve">модернизировала три энергоблока </w:t>
      </w:r>
      <w:bookmarkStart w:id="1" w:name="_GoBack"/>
      <w:r w:rsidR="008A7CA5">
        <w:rPr>
          <w:rFonts w:ascii="Tahoma" w:hAnsi="Tahoma" w:cs="Tahoma"/>
          <w:b/>
          <w:sz w:val="32"/>
          <w:szCs w:val="32"/>
        </w:rPr>
        <w:t>– на ГРЭС в Костромской области, Пермском крае и Республики Бурятия</w:t>
      </w:r>
      <w:bookmarkEnd w:id="1"/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8A7CA5">
        <w:rPr>
          <w:rFonts w:ascii="Tahoma" w:eastAsia="Times New Roman" w:hAnsi="Tahoma" w:cs="Tahoma"/>
          <w:sz w:val="24"/>
          <w:szCs w:val="24"/>
        </w:rPr>
        <w:t>Группа «Интер РАО» завершила модернизацию трёх энергоблоков (в Костромской области, Пермском крае и Республике Бурятия) суммарной мощностью 1390 МВт. Проведённые работы позволили существенно снизить удельный расход топлива и как минимум на 30 лет продлить ресурс оборудования. Работы проводились в рамках программы модернизации тепловой электроэнергетики, которая утверждена Правительством РФ в январе 2019 года по поручению Президента Владимира Путина.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8A7CA5">
        <w:rPr>
          <w:rFonts w:ascii="Tahoma" w:eastAsia="Times New Roman" w:hAnsi="Tahoma" w:cs="Tahoma"/>
          <w:sz w:val="24"/>
          <w:szCs w:val="24"/>
        </w:rPr>
        <w:t>Всё оборудование для модернизации произвели российские машиностроител</w:t>
      </w:r>
      <w:r>
        <w:rPr>
          <w:rFonts w:ascii="Tahoma" w:eastAsia="Times New Roman" w:hAnsi="Tahoma" w:cs="Tahoma"/>
          <w:sz w:val="24"/>
          <w:szCs w:val="24"/>
        </w:rPr>
        <w:t>ьные предприятия</w:t>
      </w:r>
      <w:r w:rsidRPr="008A7CA5">
        <w:rPr>
          <w:rFonts w:ascii="Tahoma" w:eastAsia="Times New Roman" w:hAnsi="Tahoma" w:cs="Tahoma"/>
          <w:sz w:val="24"/>
          <w:szCs w:val="24"/>
        </w:rPr>
        <w:t>: «Силовые машины</w:t>
      </w:r>
      <w:r w:rsidRPr="009F4B26">
        <w:rPr>
          <w:rFonts w:ascii="Tahoma" w:eastAsia="Times New Roman" w:hAnsi="Tahoma" w:cs="Tahoma"/>
          <w:sz w:val="24"/>
          <w:szCs w:val="24"/>
        </w:rPr>
        <w:t>», Таганрогский котлостроительный</w:t>
      </w:r>
      <w:r w:rsidRPr="008A7CA5">
        <w:rPr>
          <w:rFonts w:ascii="Tahoma" w:eastAsia="Times New Roman" w:hAnsi="Tahoma" w:cs="Tahoma"/>
          <w:sz w:val="24"/>
          <w:szCs w:val="24"/>
        </w:rPr>
        <w:t xml:space="preserve"> завод «Красный котельщик»; «</w:t>
      </w:r>
      <w:proofErr w:type="spellStart"/>
      <w:r w:rsidRPr="008A7CA5">
        <w:rPr>
          <w:rFonts w:ascii="Tahoma" w:eastAsia="Times New Roman" w:hAnsi="Tahoma" w:cs="Tahoma"/>
          <w:sz w:val="24"/>
          <w:szCs w:val="24"/>
        </w:rPr>
        <w:t>Белэнергомаш</w:t>
      </w:r>
      <w:proofErr w:type="spellEnd"/>
      <w:r w:rsidRPr="008A7CA5">
        <w:rPr>
          <w:rFonts w:ascii="Tahoma" w:eastAsia="Times New Roman" w:hAnsi="Tahoma" w:cs="Tahoma"/>
          <w:sz w:val="24"/>
          <w:szCs w:val="24"/>
        </w:rPr>
        <w:t>».</w:t>
      </w:r>
    </w:p>
    <w:p w:rsidR="00E027DA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8A7CA5">
        <w:rPr>
          <w:rFonts w:ascii="Tahoma" w:eastAsia="Times New Roman" w:hAnsi="Tahoma" w:cs="Tahoma"/>
          <w:sz w:val="24"/>
          <w:szCs w:val="24"/>
        </w:rPr>
        <w:t>В результате модернизации будет гарантировано бесперебойное и качественное энергоснабжение промышленных предприятий Урала, Забайкалья, Центральн</w:t>
      </w:r>
      <w:r w:rsidR="00F054B5">
        <w:rPr>
          <w:rFonts w:ascii="Tahoma" w:eastAsia="Times New Roman" w:hAnsi="Tahoma" w:cs="Tahoma"/>
          <w:sz w:val="24"/>
          <w:szCs w:val="24"/>
        </w:rPr>
        <w:t>ых</w:t>
      </w:r>
      <w:r w:rsidRPr="008A7CA5">
        <w:rPr>
          <w:rFonts w:ascii="Tahoma" w:eastAsia="Times New Roman" w:hAnsi="Tahoma" w:cs="Tahoma"/>
          <w:sz w:val="24"/>
          <w:szCs w:val="24"/>
        </w:rPr>
        <w:t xml:space="preserve"> регион</w:t>
      </w:r>
      <w:r w:rsidR="0053217A">
        <w:rPr>
          <w:rFonts w:ascii="Tahoma" w:eastAsia="Times New Roman" w:hAnsi="Tahoma" w:cs="Tahoma"/>
          <w:sz w:val="24"/>
          <w:szCs w:val="24"/>
        </w:rPr>
        <w:t>ов</w:t>
      </w:r>
      <w:r w:rsidRPr="008A7CA5">
        <w:rPr>
          <w:rFonts w:ascii="Tahoma" w:eastAsia="Times New Roman" w:hAnsi="Tahoma" w:cs="Tahoma"/>
          <w:sz w:val="24"/>
          <w:szCs w:val="24"/>
        </w:rPr>
        <w:t xml:space="preserve"> России – а значит, укреплена энергетическая безопасность страны. Прежде всего новая инфраструктура важна для предприятий нефтедобычи и нефтепереработки, машиностроения химии и нефтехимии, цветной и чёрной металлургии, лесопереработки.</w:t>
      </w:r>
      <w:bookmarkEnd w:id="0"/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24"/>
          <w:szCs w:val="24"/>
        </w:rPr>
      </w:pPr>
      <w:r w:rsidRPr="008A7CA5">
        <w:rPr>
          <w:rFonts w:ascii="Tahoma" w:eastAsia="Times New Roman" w:hAnsi="Tahoma" w:cs="Tahoma"/>
          <w:b/>
          <w:i/>
          <w:sz w:val="24"/>
          <w:szCs w:val="24"/>
        </w:rPr>
        <w:t>Энергоблок №1 Пермской ГРЭС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 – самый крупный в программе модернизации тепловой энергетики РФ. Уникальность проекта заключается в том, что опыта реконструкции таких мощных блоков в российской энергетике ещё не было. При этом энергоблок полностью российского производства – он был построен в 1986 году. Его установленная мощность составляла 820 МВт. </w:t>
      </w:r>
      <w:r w:rsidR="003B4BAA">
        <w:rPr>
          <w:rFonts w:ascii="Tahoma" w:eastAsia="Times New Roman" w:hAnsi="Tahoma" w:cs="Tahoma"/>
          <w:i/>
          <w:sz w:val="24"/>
          <w:szCs w:val="24"/>
        </w:rPr>
        <w:t>В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 результате модернизации российские </w:t>
      </w:r>
      <w:r w:rsidRPr="008A7CA5">
        <w:rPr>
          <w:rFonts w:ascii="Tahoma" w:eastAsia="Times New Roman" w:hAnsi="Tahoma" w:cs="Tahoma"/>
          <w:i/>
          <w:sz w:val="24"/>
          <w:szCs w:val="24"/>
        </w:rPr>
        <w:lastRenderedPageBreak/>
        <w:t xml:space="preserve">инженеры добились увеличения мощности до 850 МВт – специально под этот проект совместно с АО «Силовые машины» была разработана индивидуальная конструкция паровой турбины. </w:t>
      </w:r>
      <w:r w:rsidR="00E37E97">
        <w:rPr>
          <w:rFonts w:ascii="Tahoma" w:eastAsia="Times New Roman" w:hAnsi="Tahoma" w:cs="Tahoma"/>
          <w:i/>
          <w:sz w:val="24"/>
          <w:szCs w:val="24"/>
        </w:rPr>
        <w:t>З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а счёт современных технических решений удалось повысить эффективность работы оборудования: расход природного газа </w:t>
      </w:r>
      <w:r w:rsidRPr="009F4B26">
        <w:rPr>
          <w:rFonts w:ascii="Tahoma" w:eastAsia="Times New Roman" w:hAnsi="Tahoma" w:cs="Tahoma"/>
          <w:i/>
          <w:sz w:val="24"/>
          <w:szCs w:val="24"/>
        </w:rPr>
        <w:t xml:space="preserve">уменьшен на </w:t>
      </w:r>
      <w:r w:rsidR="00DD06E2" w:rsidRPr="009F4B26">
        <w:rPr>
          <w:rFonts w:ascii="Tahoma" w:eastAsia="Times New Roman" w:hAnsi="Tahoma" w:cs="Tahoma"/>
          <w:i/>
          <w:sz w:val="24"/>
          <w:szCs w:val="24"/>
        </w:rPr>
        <w:t>3,</w:t>
      </w:r>
      <w:r w:rsidRPr="009F4B26">
        <w:rPr>
          <w:rFonts w:ascii="Tahoma" w:eastAsia="Times New Roman" w:hAnsi="Tahoma" w:cs="Tahoma"/>
          <w:i/>
          <w:sz w:val="24"/>
          <w:szCs w:val="24"/>
        </w:rPr>
        <w:t>5%.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24"/>
          <w:szCs w:val="24"/>
        </w:rPr>
      </w:pPr>
      <w:r w:rsidRPr="008A7CA5">
        <w:rPr>
          <w:rFonts w:ascii="Tahoma" w:eastAsia="Times New Roman" w:hAnsi="Tahoma" w:cs="Tahoma"/>
          <w:i/>
          <w:sz w:val="24"/>
          <w:szCs w:val="24"/>
        </w:rPr>
        <w:t>Оборудование для модернизированного энергоблока Пермской ГРЭС поставили: заводы компании «Силовые машины», Таганрогский котлостроительный завод “Красный котельщик”; компания «</w:t>
      </w:r>
      <w:proofErr w:type="spellStart"/>
      <w:r w:rsidRPr="008A7CA5">
        <w:rPr>
          <w:rFonts w:ascii="Tahoma" w:eastAsia="Times New Roman" w:hAnsi="Tahoma" w:cs="Tahoma"/>
          <w:i/>
          <w:sz w:val="24"/>
          <w:szCs w:val="24"/>
        </w:rPr>
        <w:t>Белэнергомаш</w:t>
      </w:r>
      <w:proofErr w:type="spellEnd"/>
      <w:r w:rsidRPr="008A7CA5">
        <w:rPr>
          <w:rFonts w:ascii="Tahoma" w:eastAsia="Times New Roman" w:hAnsi="Tahoma" w:cs="Tahoma"/>
          <w:i/>
          <w:sz w:val="24"/>
          <w:szCs w:val="24"/>
        </w:rPr>
        <w:t>» и другие отечественные предприятия энергомашиностроительной отрасли.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24"/>
          <w:szCs w:val="24"/>
        </w:rPr>
      </w:pPr>
      <w:r w:rsidRPr="008A7CA5">
        <w:rPr>
          <w:rFonts w:ascii="Tahoma" w:eastAsia="Times New Roman" w:hAnsi="Tahoma" w:cs="Tahoma"/>
          <w:i/>
          <w:sz w:val="24"/>
          <w:szCs w:val="24"/>
        </w:rPr>
        <w:t>Пермская ГРЭС является крупнейшим поставщиком электроэнергии для промышленного центра Урала. Прежде всего – для предприятий нефтедобычи и нефтепереработки, машиностроения химии и нефтехимии, цветной и чёрной металлургии, лесопереработки. В результате модернизации крупные промышленные предприятия Урала, которые сейчас существенно увеличивают объёмы производства, получат гарантию надёжного и бесперебойного энергоснабжения.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24"/>
          <w:szCs w:val="24"/>
        </w:rPr>
      </w:pPr>
      <w:r w:rsidRPr="008A7CA5">
        <w:rPr>
          <w:rFonts w:ascii="Tahoma" w:eastAsia="Times New Roman" w:hAnsi="Tahoma" w:cs="Tahoma"/>
          <w:b/>
          <w:i/>
          <w:sz w:val="24"/>
          <w:szCs w:val="24"/>
        </w:rPr>
        <w:t>Энергоблок № 2 Костромской ГРЭС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 установленной мощностью 300 МВт был введ</w:t>
      </w:r>
      <w:r w:rsidR="0053217A">
        <w:rPr>
          <w:rFonts w:ascii="Tahoma" w:eastAsia="Times New Roman" w:hAnsi="Tahoma" w:cs="Tahoma"/>
          <w:i/>
          <w:sz w:val="24"/>
          <w:szCs w:val="24"/>
        </w:rPr>
        <w:t>ё</w:t>
      </w:r>
      <w:r w:rsidRPr="008A7CA5">
        <w:rPr>
          <w:rFonts w:ascii="Tahoma" w:eastAsia="Times New Roman" w:hAnsi="Tahoma" w:cs="Tahoma"/>
          <w:i/>
          <w:sz w:val="24"/>
          <w:szCs w:val="24"/>
        </w:rPr>
        <w:t>н в эксплуатацию в 1969</w:t>
      </w:r>
      <w:r w:rsidR="0053217A">
        <w:rPr>
          <w:rFonts w:ascii="Tahoma" w:eastAsia="Times New Roman" w:hAnsi="Tahoma" w:cs="Tahoma"/>
          <w:i/>
          <w:sz w:val="24"/>
          <w:szCs w:val="24"/>
        </w:rPr>
        <w:t xml:space="preserve"> </w:t>
      </w:r>
      <w:r w:rsidRPr="008A7CA5">
        <w:rPr>
          <w:rFonts w:ascii="Tahoma" w:eastAsia="Times New Roman" w:hAnsi="Tahoma" w:cs="Tahoma"/>
          <w:i/>
          <w:sz w:val="24"/>
          <w:szCs w:val="24"/>
        </w:rPr>
        <w:t>г</w:t>
      </w:r>
      <w:r w:rsidR="0053217A">
        <w:rPr>
          <w:rFonts w:ascii="Tahoma" w:eastAsia="Times New Roman" w:hAnsi="Tahoma" w:cs="Tahoma"/>
          <w:i/>
          <w:sz w:val="24"/>
          <w:szCs w:val="24"/>
        </w:rPr>
        <w:t>оду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. Проект модернизации предусматривал не просто обновление оборудования и продление ресурса, но и улучшение показателей экономической эффективности. Современные технические решения, использованные в ходе реконструкции, позволили увеличить мощность энергоблока на 10%, с 300 до 330 МВт, и снизить удельный расход топлива на </w:t>
      </w:r>
      <w:r w:rsidR="0053217A">
        <w:rPr>
          <w:rFonts w:ascii="Tahoma" w:eastAsia="Times New Roman" w:hAnsi="Tahoma" w:cs="Tahoma"/>
          <w:i/>
          <w:sz w:val="24"/>
          <w:szCs w:val="24"/>
        </w:rPr>
        <w:t>4</w:t>
      </w:r>
      <w:r w:rsidRPr="008A7CA5">
        <w:rPr>
          <w:rFonts w:ascii="Tahoma" w:eastAsia="Times New Roman" w:hAnsi="Tahoma" w:cs="Tahoma"/>
          <w:i/>
          <w:sz w:val="24"/>
          <w:szCs w:val="24"/>
        </w:rPr>
        <w:t>%.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24"/>
          <w:szCs w:val="24"/>
        </w:rPr>
      </w:pPr>
      <w:r w:rsidRPr="008A7CA5">
        <w:rPr>
          <w:rFonts w:ascii="Tahoma" w:eastAsia="Times New Roman" w:hAnsi="Tahoma" w:cs="Tahoma"/>
          <w:i/>
          <w:sz w:val="24"/>
          <w:szCs w:val="24"/>
        </w:rPr>
        <w:t xml:space="preserve"> В ходе модернизации произведена комплексная замена турбин</w:t>
      </w:r>
      <w:r w:rsidR="0053217A">
        <w:rPr>
          <w:rFonts w:ascii="Tahoma" w:eastAsia="Times New Roman" w:hAnsi="Tahoma" w:cs="Tahoma"/>
          <w:i/>
          <w:sz w:val="24"/>
          <w:szCs w:val="24"/>
        </w:rPr>
        <w:t>ы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 - смонтировано более </w:t>
      </w:r>
      <w:r w:rsidR="0053217A">
        <w:rPr>
          <w:rFonts w:ascii="Tahoma" w:eastAsia="Times New Roman" w:hAnsi="Tahoma" w:cs="Tahoma"/>
          <w:i/>
          <w:sz w:val="24"/>
          <w:szCs w:val="24"/>
        </w:rPr>
        <w:t>шестисот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 тонн оборудования. В процессе модернизации энергоблок</w:t>
      </w:r>
      <w:r w:rsidR="0053217A">
        <w:rPr>
          <w:rFonts w:ascii="Tahoma" w:eastAsia="Times New Roman" w:hAnsi="Tahoma" w:cs="Tahoma"/>
          <w:i/>
          <w:sz w:val="24"/>
          <w:szCs w:val="24"/>
        </w:rPr>
        <w:t>а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 были задействованы больше </w:t>
      </w:r>
      <w:r w:rsidR="0053217A">
        <w:rPr>
          <w:rFonts w:ascii="Tahoma" w:eastAsia="Times New Roman" w:hAnsi="Tahoma" w:cs="Tahoma"/>
          <w:i/>
          <w:sz w:val="24"/>
          <w:szCs w:val="24"/>
        </w:rPr>
        <w:t>1</w:t>
      </w:r>
      <w:r w:rsidRPr="008A7CA5">
        <w:rPr>
          <w:rFonts w:ascii="Tahoma" w:eastAsia="Times New Roman" w:hAnsi="Tahoma" w:cs="Tahoma"/>
          <w:i/>
          <w:sz w:val="24"/>
          <w:szCs w:val="24"/>
        </w:rPr>
        <w:t>00 специалистов, работы организованы в 3 смены.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24"/>
          <w:szCs w:val="24"/>
        </w:rPr>
      </w:pPr>
      <w:r w:rsidRPr="008A7CA5">
        <w:rPr>
          <w:rFonts w:ascii="Tahoma" w:eastAsia="Times New Roman" w:hAnsi="Tahoma" w:cs="Tahoma"/>
          <w:i/>
          <w:sz w:val="24"/>
          <w:szCs w:val="24"/>
        </w:rPr>
        <w:t xml:space="preserve">Всё оборудование, использованное для модернизации – отечественного производства. Основной поставщик - ПАО «Силовые машины». Таким образом полностью выполнены требования по локализации оборудования, участвующего в мероприятиях по модернизации в соответствии с Постановлением Правительства №719 от 07.07.2015 «О подтверждении производства промышленной продукции на территории Российской Федерации». 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24"/>
          <w:szCs w:val="24"/>
        </w:rPr>
      </w:pPr>
      <w:r w:rsidRPr="008A7CA5">
        <w:rPr>
          <w:rFonts w:ascii="Tahoma" w:eastAsia="Times New Roman" w:hAnsi="Tahoma" w:cs="Tahoma"/>
          <w:i/>
          <w:sz w:val="24"/>
          <w:szCs w:val="24"/>
        </w:rPr>
        <w:t xml:space="preserve">Костромская ГРЭС - одна из самых крупных и технически совершенных тепловых электростанций России, имеющая рекордные показатели по экономии условного </w:t>
      </w:r>
      <w:r w:rsidRPr="008A7CA5">
        <w:rPr>
          <w:rFonts w:ascii="Tahoma" w:eastAsia="Times New Roman" w:hAnsi="Tahoma" w:cs="Tahoma"/>
          <w:i/>
          <w:sz w:val="24"/>
          <w:szCs w:val="24"/>
        </w:rPr>
        <w:lastRenderedPageBreak/>
        <w:t xml:space="preserve">топлива среди предприятий своего класса. Она занимает третье место по установленной мощности среди тепловых электростанций страны (3690 МВт) и вырабатывает около 1,5% от общего объёма производимой в России электроэнергии.  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24"/>
          <w:szCs w:val="24"/>
        </w:rPr>
      </w:pPr>
      <w:r w:rsidRPr="008A7CA5">
        <w:rPr>
          <w:rFonts w:ascii="Tahoma" w:eastAsia="Times New Roman" w:hAnsi="Tahoma" w:cs="Tahoma"/>
          <w:b/>
          <w:i/>
          <w:sz w:val="24"/>
          <w:szCs w:val="24"/>
        </w:rPr>
        <w:t>Энергоблок № 2 Гусиноозёрской ГРЭС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, основным топливом для которого является уголь, введён в эксплуатацию в 1977 году. Его модернизация включала в себя замену в полном объёме основных </w:t>
      </w:r>
      <w:r w:rsidR="009C485E">
        <w:rPr>
          <w:rFonts w:ascii="Tahoma" w:eastAsia="Times New Roman" w:hAnsi="Tahoma" w:cs="Tahoma"/>
          <w:i/>
          <w:sz w:val="24"/>
          <w:szCs w:val="24"/>
        </w:rPr>
        <w:t xml:space="preserve">элементов 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котлоагрегатов. </w:t>
      </w:r>
      <w:r w:rsidR="00E37E97" w:rsidRPr="00E37E97">
        <w:rPr>
          <w:rFonts w:ascii="Tahoma" w:eastAsia="Times New Roman" w:hAnsi="Tahoma" w:cs="Tahoma"/>
          <w:i/>
          <w:sz w:val="24"/>
          <w:szCs w:val="24"/>
        </w:rPr>
        <w:t xml:space="preserve">В результате обновления улучшены показатели экономической эффективности, </w:t>
      </w:r>
      <w:r w:rsidR="00E37E97">
        <w:rPr>
          <w:rFonts w:ascii="Tahoma" w:eastAsia="Times New Roman" w:hAnsi="Tahoma" w:cs="Tahoma"/>
          <w:i/>
          <w:sz w:val="24"/>
          <w:szCs w:val="24"/>
        </w:rPr>
        <w:t>надёжности</w:t>
      </w:r>
      <w:r w:rsidR="00E37E97" w:rsidRPr="00E37E97">
        <w:rPr>
          <w:rFonts w:ascii="Tahoma" w:eastAsia="Times New Roman" w:hAnsi="Tahoma" w:cs="Tahoma"/>
          <w:i/>
          <w:sz w:val="24"/>
          <w:szCs w:val="24"/>
        </w:rPr>
        <w:t>, продлен ресурс действующего оборудования</w:t>
      </w:r>
      <w:r w:rsidR="00E37E97">
        <w:rPr>
          <w:rFonts w:ascii="Tahoma" w:eastAsia="Times New Roman" w:hAnsi="Tahoma" w:cs="Tahoma"/>
          <w:i/>
          <w:sz w:val="24"/>
          <w:szCs w:val="24"/>
        </w:rPr>
        <w:t>.</w:t>
      </w:r>
      <w:r w:rsidRPr="008A7CA5">
        <w:rPr>
          <w:rFonts w:ascii="Tahoma" w:eastAsia="Times New Roman" w:hAnsi="Tahoma" w:cs="Tahoma"/>
          <w:i/>
          <w:sz w:val="24"/>
          <w:szCs w:val="24"/>
        </w:rPr>
        <w:t xml:space="preserve">  Мощность энергоблока увеличена на 20 МВт, до 210 МВт.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24"/>
          <w:szCs w:val="24"/>
        </w:rPr>
      </w:pPr>
      <w:r w:rsidRPr="008A7CA5">
        <w:rPr>
          <w:rFonts w:ascii="Tahoma" w:eastAsia="Times New Roman" w:hAnsi="Tahoma" w:cs="Tahoma"/>
          <w:i/>
          <w:sz w:val="24"/>
          <w:szCs w:val="24"/>
        </w:rPr>
        <w:t>Производитель оборудования - Таганрогский котлостроительный завод «Красный котельщик» (АО «Силовые машины»).</w:t>
      </w:r>
    </w:p>
    <w:p w:rsidR="008A7CA5" w:rsidRPr="008A7CA5" w:rsidRDefault="008A7CA5" w:rsidP="008A7CA5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proofErr w:type="spellStart"/>
      <w:r w:rsidRPr="008A7CA5">
        <w:rPr>
          <w:rFonts w:ascii="Tahoma" w:eastAsia="Times New Roman" w:hAnsi="Tahoma" w:cs="Tahoma"/>
          <w:i/>
          <w:sz w:val="24"/>
          <w:szCs w:val="24"/>
        </w:rPr>
        <w:t>Гусиноозёрская</w:t>
      </w:r>
      <w:proofErr w:type="spellEnd"/>
      <w:r w:rsidRPr="008A7CA5">
        <w:rPr>
          <w:rFonts w:ascii="Tahoma" w:eastAsia="Times New Roman" w:hAnsi="Tahoma" w:cs="Tahoma"/>
          <w:i/>
          <w:sz w:val="24"/>
          <w:szCs w:val="24"/>
        </w:rPr>
        <w:t xml:space="preserve"> ГРЭС - самая мощная в Забайкалье электростанция конденсационного типа. Одно из самых больших предприятий Бурятии.</w:t>
      </w:r>
    </w:p>
    <w:p w:rsidR="008A7CA5" w:rsidRDefault="008A7CA5" w:rsidP="008A7CA5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 w:rsidRPr="008A7CA5">
        <w:rPr>
          <w:rFonts w:ascii="Tahoma" w:hAnsi="Tahoma" w:cs="Tahoma"/>
          <w:b/>
          <w:sz w:val="17"/>
          <w:szCs w:val="17"/>
        </w:rPr>
        <w:t>Программа модернизации тепловой энергетики</w:t>
      </w:r>
      <w:r w:rsidRPr="008A7CA5">
        <w:rPr>
          <w:rFonts w:ascii="Tahoma" w:hAnsi="Tahoma" w:cs="Tahoma"/>
          <w:sz w:val="17"/>
          <w:szCs w:val="17"/>
        </w:rPr>
        <w:t xml:space="preserve"> реализуется в соответствии с поручением Президента РФ в рамках постановления Правительства РФ от 25 января 2019 года № 43. Она предусматривает обновление до 2030 года 4</w:t>
      </w:r>
      <w:r w:rsidR="004A3035">
        <w:rPr>
          <w:rFonts w:ascii="Tahoma" w:hAnsi="Tahoma" w:cs="Tahoma"/>
          <w:sz w:val="17"/>
          <w:szCs w:val="17"/>
        </w:rPr>
        <w:t>7</w:t>
      </w:r>
      <w:r w:rsidRPr="008A7CA5">
        <w:rPr>
          <w:rFonts w:ascii="Tahoma" w:hAnsi="Tahoma" w:cs="Tahoma"/>
          <w:sz w:val="17"/>
          <w:szCs w:val="17"/>
        </w:rPr>
        <w:t xml:space="preserve"> ГВт </w:t>
      </w:r>
      <w:proofErr w:type="spellStart"/>
      <w:r w:rsidRPr="008A7CA5">
        <w:rPr>
          <w:rFonts w:ascii="Tahoma" w:hAnsi="Tahoma" w:cs="Tahoma"/>
          <w:sz w:val="17"/>
          <w:szCs w:val="17"/>
        </w:rPr>
        <w:t>энергомощности</w:t>
      </w:r>
      <w:proofErr w:type="spellEnd"/>
      <w:r w:rsidRPr="008A7CA5">
        <w:rPr>
          <w:rFonts w:ascii="Tahoma" w:hAnsi="Tahoma" w:cs="Tahoma"/>
          <w:sz w:val="17"/>
          <w:szCs w:val="17"/>
        </w:rPr>
        <w:t xml:space="preserve"> и позволит замедлить темп старения оборудования, повысит надёжность энергоснабжения потребителей и даст мощный импульс для развития отечественного энергомашиностроения. По результатам конкурентных отборов проектов модернизации тепловых электростанций на 2022–</w:t>
      </w:r>
      <w:r w:rsidR="004A0C81" w:rsidRPr="009F4B26">
        <w:rPr>
          <w:rFonts w:ascii="Tahoma" w:hAnsi="Tahoma" w:cs="Tahoma"/>
          <w:sz w:val="17"/>
          <w:szCs w:val="17"/>
        </w:rPr>
        <w:t>202</w:t>
      </w:r>
      <w:r w:rsidR="009F4B26" w:rsidRPr="009F4B26">
        <w:rPr>
          <w:rFonts w:ascii="Tahoma" w:hAnsi="Tahoma" w:cs="Tahoma"/>
          <w:sz w:val="17"/>
          <w:szCs w:val="17"/>
        </w:rPr>
        <w:t>8</w:t>
      </w:r>
      <w:r w:rsidR="004A0C81" w:rsidRPr="009F4B26">
        <w:rPr>
          <w:rFonts w:ascii="Tahoma" w:hAnsi="Tahoma" w:cs="Tahoma"/>
          <w:sz w:val="17"/>
          <w:szCs w:val="17"/>
        </w:rPr>
        <w:t xml:space="preserve"> </w:t>
      </w:r>
      <w:r w:rsidRPr="009F4B26">
        <w:rPr>
          <w:rFonts w:ascii="Tahoma" w:hAnsi="Tahoma" w:cs="Tahoma"/>
          <w:sz w:val="17"/>
          <w:szCs w:val="17"/>
        </w:rPr>
        <w:t>годы около 40% (более 10 ГВт) приходится на проекты Группы «Интер РАО».</w:t>
      </w:r>
    </w:p>
    <w:p w:rsidR="008A7CA5" w:rsidRPr="00E37E97" w:rsidRDefault="008A7CA5" w:rsidP="008A7CA5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 w:rsidRPr="008A7CA5">
        <w:rPr>
          <w:rFonts w:ascii="Tahoma" w:hAnsi="Tahoma" w:cs="Tahoma"/>
          <w:sz w:val="17"/>
          <w:szCs w:val="17"/>
        </w:rPr>
        <w:t>#</w:t>
      </w:r>
      <w:r>
        <w:rPr>
          <w:rFonts w:ascii="Tahoma" w:hAnsi="Tahoma" w:cs="Tahoma"/>
          <w:sz w:val="17"/>
          <w:szCs w:val="17"/>
        </w:rPr>
        <w:tab/>
      </w:r>
      <w:r w:rsidRPr="00E37E97">
        <w:rPr>
          <w:rFonts w:ascii="Tahoma" w:hAnsi="Tahoma" w:cs="Tahoma"/>
          <w:sz w:val="17"/>
          <w:szCs w:val="17"/>
        </w:rPr>
        <w:t>#</w:t>
      </w:r>
      <w:r w:rsidRPr="00E37E97">
        <w:rPr>
          <w:rFonts w:ascii="Tahoma" w:hAnsi="Tahoma" w:cs="Tahoma"/>
          <w:sz w:val="17"/>
          <w:szCs w:val="17"/>
        </w:rPr>
        <w:tab/>
        <w:t>#</w:t>
      </w:r>
    </w:p>
    <w:p w:rsidR="008A7CA5" w:rsidRDefault="008A7CA5" w:rsidP="008A7CA5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 w:rsidRPr="008A7CA5">
        <w:rPr>
          <w:rFonts w:ascii="Tahoma" w:hAnsi="Tahoma" w:cs="Tahoma"/>
          <w:b/>
          <w:sz w:val="17"/>
          <w:szCs w:val="17"/>
        </w:rPr>
        <w:t>Группа «Интер РАО»</w:t>
      </w:r>
      <w:r w:rsidRPr="008A7CA5"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</w:t>
      </w:r>
      <w:proofErr w:type="spellStart"/>
      <w:r w:rsidRPr="008A7CA5">
        <w:rPr>
          <w:rFonts w:ascii="Tahoma" w:hAnsi="Tahoma" w:cs="Tahoma"/>
          <w:sz w:val="17"/>
          <w:szCs w:val="17"/>
        </w:rPr>
        <w:t>энерготрейдинг</w:t>
      </w:r>
      <w:proofErr w:type="spellEnd"/>
      <w:r w:rsidRPr="008A7CA5">
        <w:rPr>
          <w:rFonts w:ascii="Tahoma" w:hAnsi="Tahoma" w:cs="Tahoma"/>
          <w:sz w:val="17"/>
          <w:szCs w:val="17"/>
        </w:rPr>
        <w:t>, розничная торговля электроэнергией, энергетическое машиностроение, инжиниринг, отраслевые информационные технологии и др.</w:t>
      </w:r>
    </w:p>
    <w:sectPr w:rsidR="008A7CA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50E" w:rsidRDefault="00A8650E">
      <w:r>
        <w:separator/>
      </w:r>
    </w:p>
  </w:endnote>
  <w:endnote w:type="continuationSeparator" w:id="0">
    <w:p w:rsidR="00A8650E" w:rsidRDefault="00A8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0B" w:rsidRDefault="00D42D0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D42D0B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8159D6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50E" w:rsidRDefault="00A8650E">
      <w:r>
        <w:separator/>
      </w:r>
    </w:p>
  </w:footnote>
  <w:footnote w:type="continuationSeparator" w:id="0">
    <w:p w:rsidR="00A8650E" w:rsidRDefault="00A86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0B" w:rsidRDefault="00D42D0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0B" w:rsidRDefault="00D42D0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0B" w:rsidRDefault="00D42D0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504"/>
    <w:multiLevelType w:val="hybridMultilevel"/>
    <w:tmpl w:val="C85E5994"/>
    <w:lvl w:ilvl="0" w:tplc="1C0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8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ADD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6621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8F1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8F8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AA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8C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FE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91EBC"/>
    <w:multiLevelType w:val="hybridMultilevel"/>
    <w:tmpl w:val="ACD01632"/>
    <w:lvl w:ilvl="0" w:tplc="C7B26D5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3A33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C6EA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0C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5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A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C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000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EE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430D9"/>
    <w:multiLevelType w:val="hybridMultilevel"/>
    <w:tmpl w:val="473405F4"/>
    <w:lvl w:ilvl="0" w:tplc="B354138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499ECA4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1A7C664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72E000C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918B43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8E860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DE563D36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A83CB7B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194268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15F170C"/>
    <w:multiLevelType w:val="hybridMultilevel"/>
    <w:tmpl w:val="D180930A"/>
    <w:lvl w:ilvl="0" w:tplc="69322C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821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6A12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022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D879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24F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C4C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16E4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2CE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8138F"/>
    <w:multiLevelType w:val="hybridMultilevel"/>
    <w:tmpl w:val="2CA40AC2"/>
    <w:lvl w:ilvl="0" w:tplc="1DF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A6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2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B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0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09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8C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4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C0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2F86"/>
    <w:multiLevelType w:val="hybridMultilevel"/>
    <w:tmpl w:val="E45AD682"/>
    <w:lvl w:ilvl="0" w:tplc="BC78BA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3E45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6412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D10AE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2C6B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BADE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F4DC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96DF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ABD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1C7407"/>
    <w:multiLevelType w:val="hybridMultilevel"/>
    <w:tmpl w:val="27E26E0E"/>
    <w:lvl w:ilvl="0" w:tplc="93D4D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1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A1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E6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E0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D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C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E7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7A1A"/>
    <w:multiLevelType w:val="hybridMultilevel"/>
    <w:tmpl w:val="06122D72"/>
    <w:lvl w:ilvl="0" w:tplc="DE96AC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C70CA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A8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626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4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2C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EC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E1F60"/>
    <w:multiLevelType w:val="hybridMultilevel"/>
    <w:tmpl w:val="CFD0DF12"/>
    <w:lvl w:ilvl="0" w:tplc="5D502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0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BAA2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2F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9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BC59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2A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82C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D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479E8"/>
    <w:multiLevelType w:val="hybridMultilevel"/>
    <w:tmpl w:val="1B165D8C"/>
    <w:lvl w:ilvl="0" w:tplc="5C2C9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C7D98">
      <w:start w:val="1"/>
      <w:numFmt w:val="lowerLetter"/>
      <w:lvlText w:val="%2."/>
      <w:lvlJc w:val="left"/>
      <w:pPr>
        <w:ind w:left="1440" w:hanging="360"/>
      </w:pPr>
    </w:lvl>
    <w:lvl w:ilvl="2" w:tplc="A6BAE128">
      <w:start w:val="1"/>
      <w:numFmt w:val="lowerRoman"/>
      <w:lvlText w:val="%3."/>
      <w:lvlJc w:val="right"/>
      <w:pPr>
        <w:ind w:left="2160" w:hanging="180"/>
      </w:pPr>
    </w:lvl>
    <w:lvl w:ilvl="3" w:tplc="7C74E1DC">
      <w:start w:val="1"/>
      <w:numFmt w:val="decimal"/>
      <w:lvlText w:val="%4."/>
      <w:lvlJc w:val="left"/>
      <w:pPr>
        <w:ind w:left="2880" w:hanging="360"/>
      </w:pPr>
    </w:lvl>
    <w:lvl w:ilvl="4" w:tplc="2F5EB77E">
      <w:start w:val="1"/>
      <w:numFmt w:val="lowerLetter"/>
      <w:lvlText w:val="%5."/>
      <w:lvlJc w:val="left"/>
      <w:pPr>
        <w:ind w:left="3600" w:hanging="360"/>
      </w:pPr>
    </w:lvl>
    <w:lvl w:ilvl="5" w:tplc="F27AF5F6">
      <w:start w:val="1"/>
      <w:numFmt w:val="lowerRoman"/>
      <w:lvlText w:val="%6."/>
      <w:lvlJc w:val="right"/>
      <w:pPr>
        <w:ind w:left="4320" w:hanging="180"/>
      </w:pPr>
    </w:lvl>
    <w:lvl w:ilvl="6" w:tplc="8B4ECBAC">
      <w:start w:val="1"/>
      <w:numFmt w:val="decimal"/>
      <w:lvlText w:val="%7."/>
      <w:lvlJc w:val="left"/>
      <w:pPr>
        <w:ind w:left="5040" w:hanging="360"/>
      </w:pPr>
    </w:lvl>
    <w:lvl w:ilvl="7" w:tplc="045A6818">
      <w:start w:val="1"/>
      <w:numFmt w:val="lowerLetter"/>
      <w:lvlText w:val="%8."/>
      <w:lvlJc w:val="left"/>
      <w:pPr>
        <w:ind w:left="5760" w:hanging="360"/>
      </w:pPr>
    </w:lvl>
    <w:lvl w:ilvl="8" w:tplc="EB166EE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133DA"/>
    <w:multiLevelType w:val="hybridMultilevel"/>
    <w:tmpl w:val="03F65B1A"/>
    <w:lvl w:ilvl="0" w:tplc="7D8E10D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554A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3EF3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204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227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BC7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142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8C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10AF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3590A"/>
    <w:multiLevelType w:val="hybridMultilevel"/>
    <w:tmpl w:val="205006E0"/>
    <w:lvl w:ilvl="0" w:tplc="38A44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04CBCE">
      <w:start w:val="1"/>
      <w:numFmt w:val="lowerLetter"/>
      <w:lvlText w:val="%2."/>
      <w:lvlJc w:val="left"/>
      <w:pPr>
        <w:ind w:left="1440" w:hanging="360"/>
      </w:pPr>
    </w:lvl>
    <w:lvl w:ilvl="2" w:tplc="41A81AFE">
      <w:start w:val="1"/>
      <w:numFmt w:val="lowerRoman"/>
      <w:lvlText w:val="%3."/>
      <w:lvlJc w:val="right"/>
      <w:pPr>
        <w:ind w:left="2160" w:hanging="180"/>
      </w:pPr>
    </w:lvl>
    <w:lvl w:ilvl="3" w:tplc="05807B1A">
      <w:start w:val="1"/>
      <w:numFmt w:val="decimal"/>
      <w:lvlText w:val="%4."/>
      <w:lvlJc w:val="left"/>
      <w:pPr>
        <w:ind w:left="2880" w:hanging="360"/>
      </w:pPr>
    </w:lvl>
    <w:lvl w:ilvl="4" w:tplc="FC4CAEFA">
      <w:start w:val="1"/>
      <w:numFmt w:val="lowerLetter"/>
      <w:lvlText w:val="%5."/>
      <w:lvlJc w:val="left"/>
      <w:pPr>
        <w:ind w:left="3600" w:hanging="360"/>
      </w:pPr>
    </w:lvl>
    <w:lvl w:ilvl="5" w:tplc="244256CE">
      <w:start w:val="1"/>
      <w:numFmt w:val="lowerRoman"/>
      <w:lvlText w:val="%6."/>
      <w:lvlJc w:val="right"/>
      <w:pPr>
        <w:ind w:left="4320" w:hanging="180"/>
      </w:pPr>
    </w:lvl>
    <w:lvl w:ilvl="6" w:tplc="AED25BDA">
      <w:start w:val="1"/>
      <w:numFmt w:val="decimal"/>
      <w:lvlText w:val="%7."/>
      <w:lvlJc w:val="left"/>
      <w:pPr>
        <w:ind w:left="5040" w:hanging="360"/>
      </w:pPr>
    </w:lvl>
    <w:lvl w:ilvl="7" w:tplc="4FC6C68E">
      <w:start w:val="1"/>
      <w:numFmt w:val="lowerLetter"/>
      <w:lvlText w:val="%8."/>
      <w:lvlJc w:val="left"/>
      <w:pPr>
        <w:ind w:left="5760" w:hanging="360"/>
      </w:pPr>
    </w:lvl>
    <w:lvl w:ilvl="8" w:tplc="E730E2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D1590"/>
    <w:multiLevelType w:val="hybridMultilevel"/>
    <w:tmpl w:val="DC5E9F38"/>
    <w:lvl w:ilvl="0" w:tplc="C108030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66EE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D06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78F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B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886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AE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4D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F494B"/>
    <w:multiLevelType w:val="hybridMultilevel"/>
    <w:tmpl w:val="F660465A"/>
    <w:lvl w:ilvl="0" w:tplc="5B2E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8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6A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B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A3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A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4C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86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61DA5"/>
    <w:multiLevelType w:val="hybridMultilevel"/>
    <w:tmpl w:val="0AA01C68"/>
    <w:lvl w:ilvl="0" w:tplc="4A5E7F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7C0B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494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03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4E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A41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C6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F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F4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938CB"/>
    <w:multiLevelType w:val="hybridMultilevel"/>
    <w:tmpl w:val="E18072B8"/>
    <w:lvl w:ilvl="0" w:tplc="7EC83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08E5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6E381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675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4065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0B61B7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8E2941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0893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A8A6D3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3F24F2"/>
    <w:multiLevelType w:val="hybridMultilevel"/>
    <w:tmpl w:val="3814D5FC"/>
    <w:lvl w:ilvl="0" w:tplc="B1FC9E9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E84598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AEA535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590A93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A65F0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E5495B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07A20A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4D072D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15467A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0A71080"/>
    <w:multiLevelType w:val="hybridMultilevel"/>
    <w:tmpl w:val="432C66C8"/>
    <w:lvl w:ilvl="0" w:tplc="8A7061AC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638E9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A0947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5EB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98CF5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91AF8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24E0D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ECBF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F097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F04EDD"/>
    <w:multiLevelType w:val="hybridMultilevel"/>
    <w:tmpl w:val="956A9B7E"/>
    <w:lvl w:ilvl="0" w:tplc="AA9EF96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6F66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BA5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E25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EF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E00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2B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00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6C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63B78"/>
    <w:multiLevelType w:val="hybridMultilevel"/>
    <w:tmpl w:val="66B2527C"/>
    <w:lvl w:ilvl="0" w:tplc="C694B1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4267B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8284CC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209D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750FE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A94153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5DC4F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45A5BD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9A2CC7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870A2"/>
    <w:multiLevelType w:val="hybridMultilevel"/>
    <w:tmpl w:val="9806A2B6"/>
    <w:lvl w:ilvl="0" w:tplc="BB4281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3D0B4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B42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EA9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90A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7A0A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E01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1C37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28EC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74DBE"/>
    <w:multiLevelType w:val="hybridMultilevel"/>
    <w:tmpl w:val="8D244858"/>
    <w:lvl w:ilvl="0" w:tplc="EA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842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B4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C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E5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A6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E68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4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EE2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641011"/>
    <w:multiLevelType w:val="hybridMultilevel"/>
    <w:tmpl w:val="370C4364"/>
    <w:lvl w:ilvl="0" w:tplc="C9F67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6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0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6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65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BE6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06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6324B"/>
    <w:multiLevelType w:val="hybridMultilevel"/>
    <w:tmpl w:val="3588157A"/>
    <w:lvl w:ilvl="0" w:tplc="3AA644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A754A2A"/>
    <w:multiLevelType w:val="hybridMultilevel"/>
    <w:tmpl w:val="F566E53A"/>
    <w:lvl w:ilvl="0" w:tplc="94CCF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828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4EC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481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A8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CC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8D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352393"/>
    <w:multiLevelType w:val="hybridMultilevel"/>
    <w:tmpl w:val="CC600A58"/>
    <w:lvl w:ilvl="0" w:tplc="2A6AA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E88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4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E8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06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80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F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64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E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5F97"/>
    <w:multiLevelType w:val="hybridMultilevel"/>
    <w:tmpl w:val="EE7E1CE0"/>
    <w:lvl w:ilvl="0" w:tplc="0F84BC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BE22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48A0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5AF8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781B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6AD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A2A4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9CE8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DA24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7E84EF4"/>
    <w:multiLevelType w:val="hybridMultilevel"/>
    <w:tmpl w:val="470C16F6"/>
    <w:lvl w:ilvl="0" w:tplc="2D64C0C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B02D03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381B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F5E69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FA66A8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658B1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F0422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D42923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BCEC6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0"/>
  </w:num>
  <w:num w:numId="5">
    <w:abstractNumId w:val="15"/>
  </w:num>
  <w:num w:numId="6">
    <w:abstractNumId w:val="25"/>
  </w:num>
  <w:num w:numId="7">
    <w:abstractNumId w:val="22"/>
  </w:num>
  <w:num w:numId="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11"/>
  </w:num>
  <w:num w:numId="18">
    <w:abstractNumId w:val="26"/>
  </w:num>
  <w:num w:numId="19">
    <w:abstractNumId w:val="27"/>
  </w:num>
  <w:num w:numId="20">
    <w:abstractNumId w:val="19"/>
  </w:num>
  <w:num w:numId="21">
    <w:abstractNumId w:val="28"/>
  </w:num>
  <w:num w:numId="22">
    <w:abstractNumId w:val="21"/>
  </w:num>
  <w:num w:numId="23">
    <w:abstractNumId w:val="6"/>
  </w:num>
  <w:num w:numId="24">
    <w:abstractNumId w:val="13"/>
  </w:num>
  <w:num w:numId="25">
    <w:abstractNumId w:val="5"/>
  </w:num>
  <w:num w:numId="26">
    <w:abstractNumId w:val="3"/>
  </w:num>
  <w:num w:numId="27">
    <w:abstractNumId w:val="20"/>
  </w:num>
  <w:num w:numId="28">
    <w:abstractNumId w:val="4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DA"/>
    <w:rsid w:val="0002032F"/>
    <w:rsid w:val="000276A8"/>
    <w:rsid w:val="0003272A"/>
    <w:rsid w:val="00032C59"/>
    <w:rsid w:val="000579D8"/>
    <w:rsid w:val="00085531"/>
    <w:rsid w:val="0009103E"/>
    <w:rsid w:val="000C3C65"/>
    <w:rsid w:val="000E3AC2"/>
    <w:rsid w:val="00101C18"/>
    <w:rsid w:val="00104F10"/>
    <w:rsid w:val="001316E5"/>
    <w:rsid w:val="001510CC"/>
    <w:rsid w:val="00161CF9"/>
    <w:rsid w:val="001D08B6"/>
    <w:rsid w:val="001D2811"/>
    <w:rsid w:val="001F7872"/>
    <w:rsid w:val="00202515"/>
    <w:rsid w:val="00222CE6"/>
    <w:rsid w:val="00225AC2"/>
    <w:rsid w:val="00240DC4"/>
    <w:rsid w:val="00245F15"/>
    <w:rsid w:val="002468EA"/>
    <w:rsid w:val="00254822"/>
    <w:rsid w:val="00256568"/>
    <w:rsid w:val="0025730F"/>
    <w:rsid w:val="00295BF6"/>
    <w:rsid w:val="002A2FBC"/>
    <w:rsid w:val="002C2C90"/>
    <w:rsid w:val="00323F47"/>
    <w:rsid w:val="00344450"/>
    <w:rsid w:val="00381398"/>
    <w:rsid w:val="00387804"/>
    <w:rsid w:val="00395BD0"/>
    <w:rsid w:val="003B4BAA"/>
    <w:rsid w:val="003B619D"/>
    <w:rsid w:val="003C35DD"/>
    <w:rsid w:val="003D065C"/>
    <w:rsid w:val="003D3F56"/>
    <w:rsid w:val="00406B48"/>
    <w:rsid w:val="0041718B"/>
    <w:rsid w:val="004A0C81"/>
    <w:rsid w:val="004A3035"/>
    <w:rsid w:val="004E0EF3"/>
    <w:rsid w:val="004F5913"/>
    <w:rsid w:val="00514AA9"/>
    <w:rsid w:val="00515E33"/>
    <w:rsid w:val="00516360"/>
    <w:rsid w:val="00522C6D"/>
    <w:rsid w:val="0053217A"/>
    <w:rsid w:val="00543E2B"/>
    <w:rsid w:val="005471AE"/>
    <w:rsid w:val="00586B56"/>
    <w:rsid w:val="0059635A"/>
    <w:rsid w:val="005A025E"/>
    <w:rsid w:val="005A78B2"/>
    <w:rsid w:val="005C4A24"/>
    <w:rsid w:val="005D56EA"/>
    <w:rsid w:val="005E634D"/>
    <w:rsid w:val="00602B5B"/>
    <w:rsid w:val="00615409"/>
    <w:rsid w:val="006205F0"/>
    <w:rsid w:val="00637FBC"/>
    <w:rsid w:val="006465CB"/>
    <w:rsid w:val="00666D3F"/>
    <w:rsid w:val="0067042F"/>
    <w:rsid w:val="00672E1D"/>
    <w:rsid w:val="006745B3"/>
    <w:rsid w:val="00693138"/>
    <w:rsid w:val="006B55A6"/>
    <w:rsid w:val="006F74EE"/>
    <w:rsid w:val="007005BC"/>
    <w:rsid w:val="00734C5A"/>
    <w:rsid w:val="00752BB9"/>
    <w:rsid w:val="00757525"/>
    <w:rsid w:val="007636CE"/>
    <w:rsid w:val="00770B55"/>
    <w:rsid w:val="00775118"/>
    <w:rsid w:val="007817C3"/>
    <w:rsid w:val="00786420"/>
    <w:rsid w:val="0079475F"/>
    <w:rsid w:val="007B1B9F"/>
    <w:rsid w:val="007C1E95"/>
    <w:rsid w:val="007D3782"/>
    <w:rsid w:val="007D3A07"/>
    <w:rsid w:val="007F7039"/>
    <w:rsid w:val="0081388F"/>
    <w:rsid w:val="008159D6"/>
    <w:rsid w:val="00824267"/>
    <w:rsid w:val="00851071"/>
    <w:rsid w:val="00863045"/>
    <w:rsid w:val="008A7928"/>
    <w:rsid w:val="008A7CA5"/>
    <w:rsid w:val="008F2B24"/>
    <w:rsid w:val="00917A73"/>
    <w:rsid w:val="00926DF1"/>
    <w:rsid w:val="0095349D"/>
    <w:rsid w:val="00957471"/>
    <w:rsid w:val="00962B61"/>
    <w:rsid w:val="00991B34"/>
    <w:rsid w:val="009C485E"/>
    <w:rsid w:val="009E315B"/>
    <w:rsid w:val="009F4B26"/>
    <w:rsid w:val="00A02416"/>
    <w:rsid w:val="00A03EE2"/>
    <w:rsid w:val="00A272C7"/>
    <w:rsid w:val="00A476DA"/>
    <w:rsid w:val="00A56B79"/>
    <w:rsid w:val="00A6679E"/>
    <w:rsid w:val="00A72794"/>
    <w:rsid w:val="00A8650E"/>
    <w:rsid w:val="00AA228C"/>
    <w:rsid w:val="00AB4EDF"/>
    <w:rsid w:val="00AB6ADB"/>
    <w:rsid w:val="00AB7416"/>
    <w:rsid w:val="00AD48DD"/>
    <w:rsid w:val="00AD6C76"/>
    <w:rsid w:val="00B07A17"/>
    <w:rsid w:val="00B55C6E"/>
    <w:rsid w:val="00B65D55"/>
    <w:rsid w:val="00B7025A"/>
    <w:rsid w:val="00B73CB6"/>
    <w:rsid w:val="00BC17CF"/>
    <w:rsid w:val="00BE76F7"/>
    <w:rsid w:val="00BF1DDA"/>
    <w:rsid w:val="00C04651"/>
    <w:rsid w:val="00C066DF"/>
    <w:rsid w:val="00C170C7"/>
    <w:rsid w:val="00C24C3C"/>
    <w:rsid w:val="00C36264"/>
    <w:rsid w:val="00C4112B"/>
    <w:rsid w:val="00C41C17"/>
    <w:rsid w:val="00C52C4E"/>
    <w:rsid w:val="00C84273"/>
    <w:rsid w:val="00C9016D"/>
    <w:rsid w:val="00CA00A3"/>
    <w:rsid w:val="00CA0E3A"/>
    <w:rsid w:val="00CC0FD2"/>
    <w:rsid w:val="00CC4B57"/>
    <w:rsid w:val="00CC5C48"/>
    <w:rsid w:val="00CD7C55"/>
    <w:rsid w:val="00CE176B"/>
    <w:rsid w:val="00D07308"/>
    <w:rsid w:val="00D30DCC"/>
    <w:rsid w:val="00D40AFE"/>
    <w:rsid w:val="00D42D0B"/>
    <w:rsid w:val="00D44177"/>
    <w:rsid w:val="00D814BC"/>
    <w:rsid w:val="00DA474D"/>
    <w:rsid w:val="00DA6C8C"/>
    <w:rsid w:val="00DD06E2"/>
    <w:rsid w:val="00DE44E7"/>
    <w:rsid w:val="00E027DA"/>
    <w:rsid w:val="00E0571D"/>
    <w:rsid w:val="00E37E97"/>
    <w:rsid w:val="00E530C1"/>
    <w:rsid w:val="00E560B9"/>
    <w:rsid w:val="00E57CFD"/>
    <w:rsid w:val="00E66E1D"/>
    <w:rsid w:val="00E71871"/>
    <w:rsid w:val="00E775F2"/>
    <w:rsid w:val="00E86CCB"/>
    <w:rsid w:val="00EE09E8"/>
    <w:rsid w:val="00F054B5"/>
    <w:rsid w:val="00F07726"/>
    <w:rsid w:val="00F3153B"/>
    <w:rsid w:val="00F52E3A"/>
    <w:rsid w:val="00F9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B9F7C"/>
  <w15:docId w15:val="{DB512D1D-58F8-45BF-8936-6A60DE67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6.xml><?xml version="1.0" encoding="utf-8"?>
<ds:datastoreItem xmlns:ds="http://schemas.openxmlformats.org/officeDocument/2006/customXml" ds:itemID="{B665E14A-45A9-4DA0-ABBE-BD31CE95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Модина Анастасия Михайловна</cp:lastModifiedBy>
  <cp:revision>2</cp:revision>
  <cp:lastPrinted>2024-01-18T05:28:00Z</cp:lastPrinted>
  <dcterms:created xsi:type="dcterms:W3CDTF">2024-01-25T13:23:00Z</dcterms:created>
  <dcterms:modified xsi:type="dcterms:W3CDTF">2024-01-25T13:23:00Z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