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Hlk96595361"/>
    <w:p w:rsidR="00E15CB4" w:rsidRDefault="005A6BD7">
      <w:pPr>
        <w:rPr>
          <w:rFonts w:ascii="Tahoma" w:hAnsi="Tahoma" w:cs="Tahoma"/>
          <w:b/>
          <w:i/>
        </w:rPr>
      </w:pPr>
      <w:r>
        <w:rPr>
          <w:rFonts w:ascii="Tahoma" w:hAnsi="Tahoma" w:cs="Tahoma"/>
          <w:b/>
          <w:i/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2305050</wp:posOffset>
                </wp:positionH>
                <wp:positionV relativeFrom="paragraph">
                  <wp:posOffset>9525</wp:posOffset>
                </wp:positionV>
                <wp:extent cx="1498600" cy="1416050"/>
                <wp:effectExtent l="0" t="0" r="6350" b="0"/>
                <wp:wrapSquare wrapText="bothSides"/>
                <wp:docPr id="1" name="Рисунок 1" descr="INTER_RAO_slogan-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INTER_RAO_slogan-01"/>
                        <pic:cNvPicPr>
                          <a:picLocks noChangeAspect="1"/>
                        </pic:cNvPicPr>
                      </pic:nvPicPr>
                      <pic:blipFill>
                        <a:blip r:embed="rId13"/>
                        <a:srcRect l="23521" t="27272" r="54451" b="56699"/>
                        <a:stretch/>
                      </pic:blipFill>
                      <pic:spPr bwMode="auto">
                        <a:xfrm>
                          <a:off x="0" y="0"/>
                          <a:ext cx="1498600" cy="141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8240;o:allowoverlap:true;o:allowincell:true;mso-position-horizontal-relative:text;margin-left:181.50pt;mso-position-horizontal:absolute;mso-position-vertical-relative:text;margin-top:0.75pt;mso-position-vertical:absolute;width:118.00pt;height:111.50pt;mso-wrap-distance-left:9.00pt;mso-wrap-distance-top:0.00pt;mso-wrap-distance-right:9.00pt;mso-wrap-distance-bottom:0.00pt;" stroked="f">
                <v:path textboxrect="0,0,0,0"/>
                <w10:wrap type="square"/>
                <v:imagedata r:id="rId17" o:title=""/>
              </v:shape>
            </w:pict>
          </mc:Fallback>
        </mc:AlternateContent>
      </w:r>
      <w:r>
        <w:rPr>
          <w:rFonts w:ascii="Tahoma" w:hAnsi="Tahoma" w:cs="Tahoma"/>
          <w:b/>
          <w:i/>
        </w:rPr>
        <w:tab/>
      </w:r>
      <w:r>
        <w:rPr>
          <w:rFonts w:ascii="Tahoma" w:hAnsi="Tahoma" w:cs="Tahoma"/>
          <w:b/>
          <w:i/>
        </w:rPr>
        <w:br w:type="textWrapping" w:clear="all"/>
      </w:r>
    </w:p>
    <w:p w:rsidR="00E15CB4" w:rsidRDefault="00E15CB4">
      <w:pPr>
        <w:pBdr>
          <w:bottom w:val="single" w:sz="4" w:space="1" w:color="000000"/>
        </w:pBdr>
        <w:rPr>
          <w:rFonts w:ascii="Tahoma" w:hAnsi="Tahoma" w:cs="Tahoma"/>
          <w:b/>
          <w:i/>
        </w:rPr>
      </w:pPr>
    </w:p>
    <w:p w:rsidR="00E15CB4" w:rsidRPr="000A2A5B" w:rsidRDefault="000A2A5B">
      <w:pPr>
        <w:spacing w:before="240" w:after="240"/>
        <w:rPr>
          <w:rFonts w:ascii="Liberation Serif" w:hAnsi="Liberation Serif" w:cs="Liberation Serif"/>
          <w:b/>
          <w:sz w:val="24"/>
          <w:szCs w:val="24"/>
        </w:rPr>
      </w:pPr>
      <w:r w:rsidRPr="000A2A5B">
        <w:rPr>
          <w:rFonts w:ascii="Liberation Serif" w:hAnsi="Liberation Serif" w:cs="Liberation Serif"/>
          <w:b/>
          <w:sz w:val="24"/>
          <w:szCs w:val="24"/>
        </w:rPr>
        <w:t>14</w:t>
      </w:r>
      <w:r w:rsidR="005A6BD7" w:rsidRPr="000A2A5B"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Pr="000A2A5B">
        <w:rPr>
          <w:rFonts w:ascii="Liberation Serif" w:hAnsi="Liberation Serif" w:cs="Liberation Serif"/>
          <w:b/>
          <w:sz w:val="24"/>
          <w:szCs w:val="24"/>
        </w:rPr>
        <w:t>августа</w:t>
      </w:r>
      <w:r w:rsidR="005A6BD7" w:rsidRPr="000A2A5B">
        <w:rPr>
          <w:rFonts w:ascii="Liberation Serif" w:hAnsi="Liberation Serif" w:cs="Liberation Serif"/>
          <w:b/>
          <w:sz w:val="24"/>
          <w:szCs w:val="24"/>
        </w:rPr>
        <w:t xml:space="preserve"> 2024, Москва</w:t>
      </w:r>
    </w:p>
    <w:p w:rsidR="000A2A5B" w:rsidRPr="000B4699" w:rsidRDefault="000A2A5B" w:rsidP="000A2A5B">
      <w:pPr>
        <w:spacing w:before="360" w:after="240"/>
        <w:jc w:val="center"/>
        <w:rPr>
          <w:rFonts w:ascii="Liberation Serif" w:hAnsi="Liberation Serif" w:cs="Liberation Serif"/>
          <w:b/>
          <w:sz w:val="32"/>
          <w:szCs w:val="32"/>
        </w:rPr>
      </w:pPr>
      <w:r w:rsidRPr="000B4699">
        <w:rPr>
          <w:rFonts w:ascii="Liberation Serif" w:hAnsi="Liberation Serif" w:cs="Liberation Serif"/>
          <w:b/>
          <w:sz w:val="32"/>
          <w:szCs w:val="32"/>
        </w:rPr>
        <w:t xml:space="preserve">Группа «Интер РАО» опубликовала промежуточные консолидированные финансовые результаты по международным стандартам за </w:t>
      </w:r>
      <w:r w:rsidRPr="000B4699">
        <w:rPr>
          <w:rFonts w:ascii="Liberation Serif" w:hAnsi="Liberation Serif" w:cs="Liberation Serif"/>
          <w:b/>
          <w:sz w:val="32"/>
          <w:szCs w:val="32"/>
          <w:lang w:val="en-US"/>
        </w:rPr>
        <w:t>I</w:t>
      </w:r>
      <w:r w:rsidRPr="000B4699">
        <w:rPr>
          <w:rFonts w:ascii="Liberation Serif" w:hAnsi="Liberation Serif" w:cs="Liberation Serif"/>
          <w:b/>
          <w:sz w:val="32"/>
          <w:szCs w:val="32"/>
        </w:rPr>
        <w:t xml:space="preserve"> </w:t>
      </w:r>
      <w:r>
        <w:rPr>
          <w:rFonts w:ascii="Liberation Serif" w:hAnsi="Liberation Serif" w:cs="Liberation Serif"/>
          <w:b/>
          <w:sz w:val="32"/>
          <w:szCs w:val="32"/>
        </w:rPr>
        <w:t>полугодие</w:t>
      </w:r>
      <w:r w:rsidRPr="000B4699">
        <w:rPr>
          <w:rFonts w:ascii="Liberation Serif" w:hAnsi="Liberation Serif" w:cs="Liberation Serif"/>
          <w:b/>
          <w:sz w:val="32"/>
          <w:szCs w:val="32"/>
        </w:rPr>
        <w:t xml:space="preserve"> 2024 года </w:t>
      </w:r>
    </w:p>
    <w:tbl>
      <w:tblPr>
        <w:tblW w:w="9702" w:type="dxa"/>
        <w:tblInd w:w="83" w:type="dxa"/>
        <w:tblLayout w:type="fixed"/>
        <w:tblLook w:val="0000" w:firstRow="0" w:lastRow="0" w:firstColumn="0" w:lastColumn="0" w:noHBand="0" w:noVBand="0"/>
      </w:tblPr>
      <w:tblGrid>
        <w:gridCol w:w="10"/>
        <w:gridCol w:w="3725"/>
        <w:gridCol w:w="2126"/>
        <w:gridCol w:w="2126"/>
        <w:gridCol w:w="1667"/>
        <w:gridCol w:w="10"/>
        <w:gridCol w:w="38"/>
      </w:tblGrid>
      <w:tr w:rsidR="000A2A5B" w:rsidRPr="000B4699" w:rsidTr="000A2A5B">
        <w:trPr>
          <w:gridBefore w:val="1"/>
          <w:gridAfter w:val="1"/>
          <w:wBefore w:w="10" w:type="dxa"/>
          <w:wAfter w:w="38" w:type="dxa"/>
          <w:trHeight w:val="315"/>
        </w:trPr>
        <w:tc>
          <w:tcPr>
            <w:tcW w:w="372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6600"/>
            <w:vAlign w:val="center"/>
          </w:tcPr>
          <w:p w:rsidR="000A2A5B" w:rsidRPr="000B4699" w:rsidRDefault="000A2A5B" w:rsidP="004326AD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</w:rPr>
            </w:pPr>
            <w:r w:rsidRPr="000B4699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</w:rPr>
              <w:t>Показатель</w:t>
            </w:r>
            <w:r w:rsidRPr="000B4699"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24"/>
                <w:szCs w:val="24"/>
              </w:rPr>
              <w:t xml:space="preserve">, </w:t>
            </w:r>
            <w:r w:rsidRPr="000B4699">
              <w:rPr>
                <w:rFonts w:ascii="Liberation Serif" w:eastAsia="Times New Roman" w:hAnsi="Liberation Serif" w:cs="Liberation Serif"/>
                <w:b/>
                <w:bCs/>
                <w:iCs/>
                <w:sz w:val="24"/>
                <w:szCs w:val="24"/>
              </w:rPr>
              <w:t>млрд рублей*</w:t>
            </w:r>
          </w:p>
        </w:tc>
        <w:tc>
          <w:tcPr>
            <w:tcW w:w="2126" w:type="dxa"/>
            <w:tcBorders>
              <w:top w:val="single" w:sz="8" w:space="0" w:color="C0C0C0"/>
              <w:left w:val="none" w:sz="4" w:space="0" w:color="000000"/>
              <w:bottom w:val="single" w:sz="8" w:space="0" w:color="C0C0C0"/>
              <w:right w:val="single" w:sz="8" w:space="0" w:color="BFBFBF"/>
            </w:tcBorders>
            <w:shd w:val="clear" w:color="auto" w:fill="FF6600"/>
          </w:tcPr>
          <w:p w:rsidR="000A2A5B" w:rsidRPr="000B4699" w:rsidRDefault="000A2A5B" w:rsidP="004326AD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</w:rPr>
            </w:pPr>
            <w:r w:rsidRPr="000B4699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</w:rPr>
              <w:t>полугодие</w:t>
            </w:r>
            <w:r w:rsidRPr="000B4699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</w:rPr>
              <w:br/>
            </w:r>
            <w:r w:rsidRPr="000B4699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val="en-US"/>
              </w:rPr>
              <w:t>20</w:t>
            </w:r>
            <w:r w:rsidRPr="000B4699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</w:rPr>
              <w:t>24</w:t>
            </w:r>
            <w:r w:rsidRPr="000B4699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4699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val="en-US"/>
              </w:rPr>
              <w:t>год</w:t>
            </w:r>
            <w:proofErr w:type="spellEnd"/>
            <w:r w:rsidRPr="000B4699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2126" w:type="dxa"/>
            <w:tcBorders>
              <w:top w:val="single" w:sz="8" w:space="0" w:color="C0C0C0"/>
              <w:left w:val="single" w:sz="8" w:space="0" w:color="BFBFBF"/>
              <w:bottom w:val="single" w:sz="8" w:space="0" w:color="C0C0C0"/>
              <w:right w:val="single" w:sz="8" w:space="0" w:color="C0C0C0"/>
            </w:tcBorders>
            <w:shd w:val="clear" w:color="auto" w:fill="FF6600"/>
            <w:vAlign w:val="center"/>
          </w:tcPr>
          <w:p w:rsidR="000A2A5B" w:rsidRPr="000B4699" w:rsidRDefault="000A2A5B" w:rsidP="004326AD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</w:rPr>
            </w:pPr>
            <w:r w:rsidRPr="000B4699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</w:rPr>
              <w:t>полугодие</w:t>
            </w:r>
            <w:r w:rsidRPr="000B4699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</w:rPr>
              <w:br/>
            </w:r>
            <w:r w:rsidRPr="000B4699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val="en-US"/>
              </w:rPr>
              <w:t>20</w:t>
            </w:r>
            <w:r w:rsidRPr="000B4699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</w:rPr>
              <w:t>23</w:t>
            </w:r>
            <w:r w:rsidRPr="000B4699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4699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val="en-US"/>
              </w:rPr>
              <w:t>год</w:t>
            </w:r>
            <w:proofErr w:type="spellEnd"/>
            <w:r w:rsidRPr="000B4699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677" w:type="dxa"/>
            <w:gridSpan w:val="2"/>
            <w:tcBorders>
              <w:top w:val="single" w:sz="8" w:space="0" w:color="C0C0C0"/>
              <w:left w:val="none" w:sz="4" w:space="0" w:color="000000"/>
              <w:bottom w:val="single" w:sz="8" w:space="0" w:color="C0C0C0"/>
              <w:right w:val="single" w:sz="8" w:space="0" w:color="C0C0C0"/>
            </w:tcBorders>
            <w:shd w:val="clear" w:color="auto" w:fill="FF6600"/>
            <w:vAlign w:val="center"/>
          </w:tcPr>
          <w:p w:rsidR="000A2A5B" w:rsidRPr="000B4699" w:rsidRDefault="000A2A5B" w:rsidP="004326AD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</w:rPr>
            </w:pPr>
            <w:r w:rsidRPr="000B4699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</w:rPr>
              <w:t>+/-</w:t>
            </w:r>
          </w:p>
        </w:tc>
      </w:tr>
      <w:tr w:rsidR="000A2A5B" w:rsidRPr="000B4699" w:rsidTr="000A2A5B">
        <w:trPr>
          <w:gridBefore w:val="1"/>
          <w:gridAfter w:val="1"/>
          <w:wBefore w:w="10" w:type="dxa"/>
          <w:wAfter w:w="38" w:type="dxa"/>
          <w:trHeight w:val="315"/>
        </w:trPr>
        <w:tc>
          <w:tcPr>
            <w:tcW w:w="3725" w:type="dxa"/>
            <w:tcBorders>
              <w:top w:val="none" w:sz="4" w:space="0" w:color="00000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noWrap/>
            <w:vAlign w:val="center"/>
          </w:tcPr>
          <w:p w:rsidR="000A2A5B" w:rsidRPr="000B4699" w:rsidRDefault="000A2A5B" w:rsidP="004326AD">
            <w:pPr>
              <w:ind w:firstLine="240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0B4699">
              <w:rPr>
                <w:rFonts w:ascii="Liberation Serif" w:eastAsia="Times New Roman" w:hAnsi="Liberation Serif" w:cs="Liberation Serif"/>
                <w:sz w:val="24"/>
                <w:szCs w:val="24"/>
              </w:rPr>
              <w:t>Выручка</w:t>
            </w:r>
          </w:p>
        </w:tc>
        <w:tc>
          <w:tcPr>
            <w:tcW w:w="2126" w:type="dxa"/>
            <w:tcBorders>
              <w:top w:val="single" w:sz="8" w:space="0" w:color="C0C0C0"/>
              <w:left w:val="none" w:sz="4" w:space="0" w:color="000000"/>
              <w:bottom w:val="single" w:sz="8" w:space="0" w:color="C0C0C0"/>
              <w:right w:val="single" w:sz="8" w:space="0" w:color="BFBFBF"/>
            </w:tcBorders>
            <w:vAlign w:val="center"/>
          </w:tcPr>
          <w:p w:rsidR="000A2A5B" w:rsidRPr="008569EB" w:rsidRDefault="000A2A5B" w:rsidP="004326AD">
            <w:pPr>
              <w:ind w:firstLine="240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8569EB">
              <w:rPr>
                <w:rFonts w:ascii="Liberation Serif" w:eastAsia="Times New Roman" w:hAnsi="Liberation Serif" w:cs="Liberation Serif"/>
                <w:sz w:val="24"/>
                <w:szCs w:val="24"/>
              </w:rPr>
              <w:t>728,0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8" w:space="0" w:color="BFBFBF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0A2A5B" w:rsidRPr="008569EB" w:rsidRDefault="000A2A5B" w:rsidP="004326AD">
            <w:pPr>
              <w:ind w:firstLine="240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8569EB">
              <w:rPr>
                <w:rFonts w:ascii="Liberation Serif" w:eastAsia="Times New Roman" w:hAnsi="Liberation Serif" w:cs="Liberation Serif"/>
                <w:sz w:val="24"/>
                <w:szCs w:val="24"/>
              </w:rPr>
              <w:t>657,4</w:t>
            </w:r>
          </w:p>
        </w:tc>
        <w:tc>
          <w:tcPr>
            <w:tcW w:w="1677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0A2A5B" w:rsidRPr="008569EB" w:rsidRDefault="000A2A5B" w:rsidP="004326AD">
            <w:pPr>
              <w:ind w:firstLine="240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8569EB">
              <w:rPr>
                <w:rFonts w:ascii="Liberation Serif" w:eastAsia="Times New Roman" w:hAnsi="Liberation Serif" w:cs="Liberation Serif"/>
                <w:sz w:val="24"/>
                <w:szCs w:val="24"/>
              </w:rPr>
              <w:t>10,7%</w:t>
            </w:r>
          </w:p>
        </w:tc>
      </w:tr>
      <w:tr w:rsidR="000A2A5B" w:rsidRPr="000B4699" w:rsidTr="000A2A5B">
        <w:trPr>
          <w:gridBefore w:val="1"/>
          <w:gridAfter w:val="1"/>
          <w:wBefore w:w="10" w:type="dxa"/>
          <w:wAfter w:w="38" w:type="dxa"/>
          <w:trHeight w:val="315"/>
        </w:trPr>
        <w:tc>
          <w:tcPr>
            <w:tcW w:w="3725" w:type="dxa"/>
            <w:tcBorders>
              <w:top w:val="none" w:sz="4" w:space="0" w:color="00000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noWrap/>
            <w:vAlign w:val="center"/>
          </w:tcPr>
          <w:p w:rsidR="000A2A5B" w:rsidRPr="000B4699" w:rsidRDefault="000A2A5B" w:rsidP="004326AD">
            <w:pPr>
              <w:ind w:firstLine="240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0B4699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Операционные расходы </w:t>
            </w:r>
          </w:p>
        </w:tc>
        <w:tc>
          <w:tcPr>
            <w:tcW w:w="2126" w:type="dxa"/>
            <w:tcBorders>
              <w:top w:val="single" w:sz="8" w:space="0" w:color="C0C0C0"/>
              <w:left w:val="none" w:sz="4" w:space="0" w:color="000000"/>
              <w:bottom w:val="single" w:sz="8" w:space="0" w:color="C0C0C0"/>
              <w:right w:val="single" w:sz="8" w:space="0" w:color="BFBFBF"/>
            </w:tcBorders>
            <w:vAlign w:val="center"/>
          </w:tcPr>
          <w:p w:rsidR="000A2A5B" w:rsidRPr="008569EB" w:rsidRDefault="000A2A5B" w:rsidP="004326AD">
            <w:pPr>
              <w:ind w:firstLine="240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8569EB">
              <w:rPr>
                <w:rFonts w:ascii="Liberation Serif" w:eastAsia="Times New Roman" w:hAnsi="Liberation Serif" w:cs="Liberation Serif"/>
                <w:sz w:val="24"/>
                <w:szCs w:val="24"/>
              </w:rPr>
              <w:t>671,1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8" w:space="0" w:color="BFBFBF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0A2A5B" w:rsidRPr="008569EB" w:rsidRDefault="000A2A5B" w:rsidP="004326AD">
            <w:pPr>
              <w:ind w:firstLine="240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8569EB">
              <w:rPr>
                <w:rFonts w:ascii="Liberation Serif" w:eastAsia="Times New Roman" w:hAnsi="Liberation Serif" w:cs="Liberation Serif"/>
                <w:sz w:val="24"/>
                <w:szCs w:val="24"/>
              </w:rPr>
              <w:t>595,6</w:t>
            </w:r>
          </w:p>
        </w:tc>
        <w:tc>
          <w:tcPr>
            <w:tcW w:w="1677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0A2A5B" w:rsidRPr="008569EB" w:rsidRDefault="000A2A5B" w:rsidP="004326AD">
            <w:pPr>
              <w:ind w:firstLine="240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8569EB">
              <w:rPr>
                <w:rFonts w:ascii="Liberation Serif" w:eastAsia="Times New Roman" w:hAnsi="Liberation Serif" w:cs="Liberation Serif"/>
                <w:sz w:val="24"/>
                <w:szCs w:val="24"/>
              </w:rPr>
              <w:t>12,7%</w:t>
            </w:r>
          </w:p>
        </w:tc>
      </w:tr>
      <w:tr w:rsidR="000A2A5B" w:rsidRPr="000B4699" w:rsidTr="000A2A5B">
        <w:trPr>
          <w:gridBefore w:val="1"/>
          <w:gridAfter w:val="1"/>
          <w:wBefore w:w="10" w:type="dxa"/>
          <w:wAfter w:w="38" w:type="dxa"/>
          <w:trHeight w:val="315"/>
        </w:trPr>
        <w:tc>
          <w:tcPr>
            <w:tcW w:w="3725" w:type="dxa"/>
            <w:tcBorders>
              <w:top w:val="none" w:sz="4" w:space="0" w:color="00000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noWrap/>
            <w:vAlign w:val="center"/>
          </w:tcPr>
          <w:p w:rsidR="000A2A5B" w:rsidRPr="000B4699" w:rsidRDefault="000A2A5B" w:rsidP="004326AD">
            <w:pPr>
              <w:ind w:firstLine="240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0B4699">
              <w:rPr>
                <w:rFonts w:ascii="Liberation Serif" w:eastAsia="Times New Roman" w:hAnsi="Liberation Serif" w:cs="Liberation Serif"/>
                <w:sz w:val="24"/>
                <w:szCs w:val="24"/>
              </w:rPr>
              <w:t>Операционная прибыль</w:t>
            </w:r>
          </w:p>
        </w:tc>
        <w:tc>
          <w:tcPr>
            <w:tcW w:w="2126" w:type="dxa"/>
            <w:tcBorders>
              <w:top w:val="single" w:sz="8" w:space="0" w:color="C0C0C0"/>
              <w:left w:val="none" w:sz="4" w:space="0" w:color="000000"/>
              <w:bottom w:val="single" w:sz="8" w:space="0" w:color="C0C0C0"/>
              <w:right w:val="single" w:sz="8" w:space="0" w:color="BFBFBF"/>
            </w:tcBorders>
            <w:vAlign w:val="center"/>
          </w:tcPr>
          <w:p w:rsidR="000A2A5B" w:rsidRPr="008569EB" w:rsidRDefault="000A2A5B" w:rsidP="004326AD">
            <w:pPr>
              <w:ind w:firstLine="240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8569EB">
              <w:rPr>
                <w:rFonts w:ascii="Liberation Serif" w:eastAsia="Times New Roman" w:hAnsi="Liberation Serif" w:cs="Liberation Serif"/>
                <w:sz w:val="24"/>
                <w:szCs w:val="24"/>
              </w:rPr>
              <w:t>61,7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8" w:space="0" w:color="BFBFBF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0A2A5B" w:rsidRPr="008569EB" w:rsidRDefault="000A2A5B" w:rsidP="004326AD">
            <w:pPr>
              <w:ind w:firstLine="240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8569EB">
              <w:rPr>
                <w:rFonts w:ascii="Liberation Serif" w:eastAsia="Times New Roman" w:hAnsi="Liberation Serif" w:cs="Liberation Serif"/>
                <w:sz w:val="24"/>
                <w:szCs w:val="24"/>
              </w:rPr>
              <w:t>65,7</w:t>
            </w:r>
          </w:p>
        </w:tc>
        <w:tc>
          <w:tcPr>
            <w:tcW w:w="1677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0A2A5B" w:rsidRPr="008569EB" w:rsidRDefault="000A2A5B" w:rsidP="004326AD">
            <w:pPr>
              <w:ind w:firstLine="240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8569EB">
              <w:rPr>
                <w:rFonts w:ascii="Liberation Serif" w:eastAsia="Times New Roman" w:hAnsi="Liberation Serif" w:cs="Liberation Serif"/>
                <w:sz w:val="24"/>
                <w:szCs w:val="24"/>
              </w:rPr>
              <w:t>-6,0%</w:t>
            </w:r>
          </w:p>
        </w:tc>
      </w:tr>
      <w:tr w:rsidR="000A2A5B" w:rsidRPr="000B4699" w:rsidTr="000A2A5B">
        <w:trPr>
          <w:gridBefore w:val="1"/>
          <w:gridAfter w:val="1"/>
          <w:wBefore w:w="10" w:type="dxa"/>
          <w:wAfter w:w="38" w:type="dxa"/>
          <w:trHeight w:val="315"/>
        </w:trPr>
        <w:tc>
          <w:tcPr>
            <w:tcW w:w="3725" w:type="dxa"/>
            <w:tcBorders>
              <w:top w:val="none" w:sz="4" w:space="0" w:color="00000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noWrap/>
            <w:vAlign w:val="center"/>
          </w:tcPr>
          <w:p w:rsidR="000A2A5B" w:rsidRPr="000B4699" w:rsidRDefault="000A2A5B" w:rsidP="004326AD">
            <w:pPr>
              <w:ind w:firstLine="240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0B4699">
              <w:rPr>
                <w:rFonts w:ascii="Liberation Serif" w:eastAsia="Times New Roman" w:hAnsi="Liberation Serif" w:cs="Liberation Serif"/>
                <w:sz w:val="24"/>
                <w:szCs w:val="24"/>
              </w:rPr>
              <w:t>Чистая прибыль</w:t>
            </w:r>
          </w:p>
        </w:tc>
        <w:tc>
          <w:tcPr>
            <w:tcW w:w="2126" w:type="dxa"/>
            <w:tcBorders>
              <w:top w:val="single" w:sz="8" w:space="0" w:color="C0C0C0"/>
              <w:left w:val="none" w:sz="4" w:space="0" w:color="000000"/>
              <w:bottom w:val="single" w:sz="8" w:space="0" w:color="C0C0C0"/>
              <w:right w:val="single" w:sz="8" w:space="0" w:color="BFBFBF"/>
            </w:tcBorders>
            <w:vAlign w:val="center"/>
          </w:tcPr>
          <w:p w:rsidR="000A2A5B" w:rsidRPr="008569EB" w:rsidRDefault="000A2A5B" w:rsidP="004326AD">
            <w:pPr>
              <w:ind w:firstLine="240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8569EB">
              <w:rPr>
                <w:rFonts w:ascii="Liberation Serif" w:eastAsia="Times New Roman" w:hAnsi="Liberation Serif" w:cs="Liberation Serif"/>
                <w:sz w:val="24"/>
                <w:szCs w:val="24"/>
              </w:rPr>
              <w:t>79,5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8" w:space="0" w:color="BFBFBF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0A2A5B" w:rsidRPr="008569EB" w:rsidRDefault="000A2A5B" w:rsidP="004326AD">
            <w:pPr>
              <w:ind w:firstLine="240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8569EB">
              <w:rPr>
                <w:rFonts w:ascii="Liberation Serif" w:eastAsia="Times New Roman" w:hAnsi="Liberation Serif" w:cs="Liberation Serif"/>
                <w:sz w:val="24"/>
                <w:szCs w:val="24"/>
              </w:rPr>
              <w:t>67,8</w:t>
            </w:r>
          </w:p>
        </w:tc>
        <w:tc>
          <w:tcPr>
            <w:tcW w:w="1677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0A2A5B" w:rsidRPr="008569EB" w:rsidRDefault="000A2A5B" w:rsidP="004326AD">
            <w:pPr>
              <w:ind w:firstLine="240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8569EB">
              <w:rPr>
                <w:rFonts w:ascii="Liberation Serif" w:eastAsia="Times New Roman" w:hAnsi="Liberation Serif" w:cs="Liberation Serif"/>
                <w:sz w:val="24"/>
                <w:szCs w:val="24"/>
              </w:rPr>
              <w:t>17,3%</w:t>
            </w:r>
          </w:p>
        </w:tc>
      </w:tr>
      <w:tr w:rsidR="000A2A5B" w:rsidRPr="000B4699" w:rsidTr="000A2A5B">
        <w:trPr>
          <w:gridBefore w:val="1"/>
          <w:gridAfter w:val="1"/>
          <w:wBefore w:w="10" w:type="dxa"/>
          <w:wAfter w:w="38" w:type="dxa"/>
          <w:trHeight w:val="315"/>
        </w:trPr>
        <w:tc>
          <w:tcPr>
            <w:tcW w:w="3725" w:type="dxa"/>
            <w:tcBorders>
              <w:top w:val="none" w:sz="4" w:space="0" w:color="00000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noWrap/>
            <w:vAlign w:val="center"/>
          </w:tcPr>
          <w:p w:rsidR="000A2A5B" w:rsidRPr="000A2A5B" w:rsidRDefault="000A2A5B" w:rsidP="004326AD">
            <w:pPr>
              <w:ind w:firstLine="240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0A2A5B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EBITDA </w:t>
            </w:r>
          </w:p>
        </w:tc>
        <w:tc>
          <w:tcPr>
            <w:tcW w:w="2126" w:type="dxa"/>
            <w:tcBorders>
              <w:top w:val="single" w:sz="8" w:space="0" w:color="C0C0C0"/>
              <w:left w:val="none" w:sz="4" w:space="0" w:color="000000"/>
              <w:bottom w:val="single" w:sz="8" w:space="0" w:color="C0C0C0"/>
              <w:right w:val="single" w:sz="8" w:space="0" w:color="BFBFBF"/>
            </w:tcBorders>
            <w:vAlign w:val="center"/>
          </w:tcPr>
          <w:p w:rsidR="000A2A5B" w:rsidRPr="008569EB" w:rsidRDefault="000A2A5B" w:rsidP="004326AD">
            <w:pPr>
              <w:ind w:firstLine="240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8569EB">
              <w:rPr>
                <w:rFonts w:ascii="Liberation Serif" w:eastAsia="Times New Roman" w:hAnsi="Liberation Serif" w:cs="Liberation Serif"/>
                <w:sz w:val="24"/>
                <w:szCs w:val="24"/>
              </w:rPr>
              <w:t>79,7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8" w:space="0" w:color="BFBFBF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0A2A5B" w:rsidRPr="008569EB" w:rsidRDefault="000A2A5B" w:rsidP="004326AD">
            <w:pPr>
              <w:ind w:firstLine="240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8569EB">
              <w:rPr>
                <w:rFonts w:ascii="Liberation Serif" w:eastAsia="Times New Roman" w:hAnsi="Liberation Serif" w:cs="Liberation Serif"/>
                <w:sz w:val="24"/>
                <w:szCs w:val="24"/>
              </w:rPr>
              <w:t>88,4</w:t>
            </w:r>
          </w:p>
        </w:tc>
        <w:tc>
          <w:tcPr>
            <w:tcW w:w="1677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0A2A5B" w:rsidRPr="008569EB" w:rsidRDefault="000A2A5B" w:rsidP="004326AD">
            <w:pPr>
              <w:ind w:firstLine="240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8569EB">
              <w:rPr>
                <w:rFonts w:ascii="Liberation Serif" w:eastAsia="Times New Roman" w:hAnsi="Liberation Serif" w:cs="Liberation Serif"/>
                <w:sz w:val="24"/>
                <w:szCs w:val="24"/>
              </w:rPr>
              <w:t>-9,8%</w:t>
            </w:r>
          </w:p>
        </w:tc>
      </w:tr>
      <w:tr w:rsidR="000A2A5B" w:rsidRPr="000B4699" w:rsidTr="000A2A5B">
        <w:trPr>
          <w:gridBefore w:val="1"/>
          <w:gridAfter w:val="1"/>
          <w:wBefore w:w="10" w:type="dxa"/>
          <w:wAfter w:w="38" w:type="dxa"/>
          <w:trHeight w:val="315"/>
        </w:trPr>
        <w:tc>
          <w:tcPr>
            <w:tcW w:w="3725" w:type="dxa"/>
            <w:tcBorders>
              <w:top w:val="none" w:sz="4" w:space="0" w:color="00000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noWrap/>
            <w:vAlign w:val="center"/>
          </w:tcPr>
          <w:p w:rsidR="000A2A5B" w:rsidRPr="000B4699" w:rsidRDefault="000A2A5B" w:rsidP="004326AD">
            <w:pPr>
              <w:ind w:firstLine="240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0B4699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Капитальные расходы </w:t>
            </w:r>
          </w:p>
        </w:tc>
        <w:tc>
          <w:tcPr>
            <w:tcW w:w="2126" w:type="dxa"/>
            <w:tcBorders>
              <w:top w:val="single" w:sz="8" w:space="0" w:color="C0C0C0"/>
              <w:left w:val="none" w:sz="4" w:space="0" w:color="000000"/>
              <w:bottom w:val="single" w:sz="8" w:space="0" w:color="C0C0C0"/>
              <w:right w:val="single" w:sz="8" w:space="0" w:color="BFBFBF"/>
            </w:tcBorders>
            <w:vAlign w:val="center"/>
          </w:tcPr>
          <w:p w:rsidR="000A2A5B" w:rsidRPr="008569EB" w:rsidRDefault="000A2A5B" w:rsidP="004326AD">
            <w:pPr>
              <w:ind w:firstLine="240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8569EB">
              <w:rPr>
                <w:rFonts w:ascii="Liberation Serif" w:eastAsia="Times New Roman" w:hAnsi="Liberation Serif" w:cs="Liberation Serif"/>
                <w:sz w:val="24"/>
                <w:szCs w:val="24"/>
              </w:rPr>
              <w:t>4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3</w:t>
            </w:r>
            <w:r w:rsidRPr="008569EB">
              <w:rPr>
                <w:rFonts w:ascii="Liberation Serif" w:eastAsia="Times New Roman" w:hAnsi="Liberation Serif" w:cs="Liberation Serif"/>
                <w:sz w:val="24"/>
                <w:szCs w:val="24"/>
              </w:rPr>
              <w:t>,1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8" w:space="0" w:color="BFBFBF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0A2A5B" w:rsidRPr="008569EB" w:rsidRDefault="000A2A5B" w:rsidP="004326AD">
            <w:pPr>
              <w:ind w:firstLine="240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8569EB">
              <w:rPr>
                <w:rFonts w:ascii="Liberation Serif" w:eastAsia="Times New Roman" w:hAnsi="Liberation Serif" w:cs="Liberation Serif"/>
                <w:sz w:val="24"/>
                <w:szCs w:val="24"/>
              </w:rPr>
              <w:t>21,8</w:t>
            </w:r>
          </w:p>
        </w:tc>
        <w:tc>
          <w:tcPr>
            <w:tcW w:w="1677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0A2A5B" w:rsidRPr="008569EB" w:rsidRDefault="000A2A5B" w:rsidP="004326AD">
            <w:pPr>
              <w:ind w:firstLine="240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8569EB">
              <w:rPr>
                <w:rFonts w:ascii="Liberation Serif" w:eastAsia="Times New Roman" w:hAnsi="Liberation Serif" w:cs="Liberation Serif"/>
                <w:sz w:val="24"/>
                <w:szCs w:val="24"/>
              </w:rPr>
              <w:t>9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7</w:t>
            </w:r>
            <w:r w:rsidRPr="008569EB">
              <w:rPr>
                <w:rFonts w:ascii="Liberation Serif" w:eastAsia="Times New Roman" w:hAnsi="Liberation Serif" w:cs="Liberation Serif"/>
                <w:sz w:val="24"/>
                <w:szCs w:val="24"/>
              </w:rPr>
              <w:t>,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9</w:t>
            </w:r>
            <w:r w:rsidRPr="008569EB">
              <w:rPr>
                <w:rFonts w:ascii="Liberation Serif" w:eastAsia="Times New Roman" w:hAnsi="Liberation Serif" w:cs="Liberation Serif"/>
                <w:sz w:val="24"/>
                <w:szCs w:val="24"/>
              </w:rPr>
              <w:t>%</w:t>
            </w:r>
          </w:p>
        </w:tc>
      </w:tr>
      <w:tr w:rsidR="000A2A5B" w:rsidRPr="000B4699" w:rsidTr="000A2A5B">
        <w:trPr>
          <w:trHeight w:val="315"/>
        </w:trPr>
        <w:tc>
          <w:tcPr>
            <w:tcW w:w="9702" w:type="dxa"/>
            <w:gridSpan w:val="7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center"/>
          </w:tcPr>
          <w:p w:rsidR="000A2A5B" w:rsidRPr="000B4699" w:rsidRDefault="000A2A5B" w:rsidP="004326AD">
            <w:pPr>
              <w:rPr>
                <w:rFonts w:ascii="Liberation Serif" w:eastAsia="Times New Roman" w:hAnsi="Liberation Serif" w:cs="Liberation Serif"/>
                <w:sz w:val="24"/>
                <w:szCs w:val="24"/>
                <w:highlight w:val="yellow"/>
              </w:rPr>
            </w:pPr>
          </w:p>
        </w:tc>
      </w:tr>
      <w:tr w:rsidR="000A2A5B" w:rsidRPr="000B4699" w:rsidTr="000A2A5B">
        <w:trPr>
          <w:gridAfter w:val="2"/>
          <w:wAfter w:w="48" w:type="dxa"/>
          <w:trHeight w:val="315"/>
        </w:trPr>
        <w:tc>
          <w:tcPr>
            <w:tcW w:w="3735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6600"/>
            <w:vAlign w:val="center"/>
          </w:tcPr>
          <w:p w:rsidR="000A2A5B" w:rsidRPr="000B4699" w:rsidRDefault="000A2A5B" w:rsidP="004326AD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</w:rPr>
            </w:pPr>
            <w:r w:rsidRPr="000B4699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</w:rPr>
              <w:t>Показатель,</w:t>
            </w:r>
            <w:r w:rsidRPr="000B4699"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0B4699">
              <w:rPr>
                <w:rFonts w:ascii="Liberation Serif" w:eastAsia="Times New Roman" w:hAnsi="Liberation Serif" w:cs="Liberation Serif"/>
                <w:b/>
                <w:bCs/>
                <w:iCs/>
                <w:sz w:val="24"/>
                <w:szCs w:val="24"/>
              </w:rPr>
              <w:t>млрд рублей*</w:t>
            </w:r>
          </w:p>
        </w:tc>
        <w:tc>
          <w:tcPr>
            <w:tcW w:w="2126" w:type="dxa"/>
            <w:tcBorders>
              <w:top w:val="single" w:sz="8" w:space="0" w:color="C0C0C0"/>
              <w:left w:val="none" w:sz="4" w:space="0" w:color="000000"/>
              <w:bottom w:val="single" w:sz="8" w:space="0" w:color="C0C0C0"/>
              <w:right w:val="single" w:sz="8" w:space="0" w:color="C0C0C0"/>
            </w:tcBorders>
            <w:shd w:val="clear" w:color="auto" w:fill="FF6600"/>
            <w:vAlign w:val="center"/>
          </w:tcPr>
          <w:p w:rsidR="000A2A5B" w:rsidRPr="000B4699" w:rsidRDefault="000A2A5B" w:rsidP="004326AD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</w:rPr>
            </w:pPr>
            <w:r w:rsidRPr="000B4699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</w:rPr>
              <w:t>На 3</w:t>
            </w: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</w:rPr>
              <w:t>0</w:t>
            </w:r>
            <w:r w:rsidRPr="000B4699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</w:rPr>
              <w:t>.0</w:t>
            </w: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</w:rPr>
              <w:t>6</w:t>
            </w:r>
            <w:r w:rsidRPr="000B4699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</w:rPr>
              <w:t xml:space="preserve">.2024 </w:t>
            </w:r>
          </w:p>
        </w:tc>
        <w:tc>
          <w:tcPr>
            <w:tcW w:w="2126" w:type="dxa"/>
            <w:tcBorders>
              <w:top w:val="single" w:sz="8" w:space="0" w:color="C0C0C0"/>
              <w:left w:val="none" w:sz="4" w:space="0" w:color="000000"/>
              <w:bottom w:val="single" w:sz="8" w:space="0" w:color="C0C0C0"/>
              <w:right w:val="single" w:sz="8" w:space="0" w:color="C0C0C0"/>
            </w:tcBorders>
            <w:shd w:val="clear" w:color="auto" w:fill="FF6600"/>
            <w:vAlign w:val="center"/>
          </w:tcPr>
          <w:p w:rsidR="000A2A5B" w:rsidRPr="000B4699" w:rsidRDefault="000A2A5B" w:rsidP="004326AD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</w:rPr>
            </w:pPr>
            <w:r w:rsidRPr="000B4699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</w:rPr>
              <w:t xml:space="preserve">На 31.12.2023 </w:t>
            </w:r>
          </w:p>
        </w:tc>
        <w:tc>
          <w:tcPr>
            <w:tcW w:w="1667" w:type="dxa"/>
            <w:tcBorders>
              <w:top w:val="single" w:sz="8" w:space="0" w:color="C0C0C0"/>
              <w:left w:val="none" w:sz="4" w:space="0" w:color="000000"/>
              <w:bottom w:val="single" w:sz="8" w:space="0" w:color="C0C0C0"/>
              <w:right w:val="single" w:sz="8" w:space="0" w:color="C0C0C0"/>
            </w:tcBorders>
            <w:shd w:val="clear" w:color="auto" w:fill="FF6600"/>
            <w:vAlign w:val="center"/>
          </w:tcPr>
          <w:p w:rsidR="000A2A5B" w:rsidRPr="000B4699" w:rsidRDefault="000A2A5B" w:rsidP="004326AD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</w:rPr>
            </w:pPr>
            <w:r w:rsidRPr="000B4699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</w:rPr>
              <w:t xml:space="preserve">+/- </w:t>
            </w:r>
          </w:p>
        </w:tc>
      </w:tr>
      <w:tr w:rsidR="000A2A5B" w:rsidRPr="000B4699" w:rsidTr="000A2A5B">
        <w:trPr>
          <w:gridAfter w:val="2"/>
          <w:wAfter w:w="48" w:type="dxa"/>
          <w:trHeight w:val="315"/>
        </w:trPr>
        <w:tc>
          <w:tcPr>
            <w:tcW w:w="3735" w:type="dxa"/>
            <w:gridSpan w:val="2"/>
            <w:tcBorders>
              <w:top w:val="none" w:sz="4" w:space="0" w:color="00000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noWrap/>
            <w:vAlign w:val="center"/>
          </w:tcPr>
          <w:p w:rsidR="000A2A5B" w:rsidRPr="000B4699" w:rsidRDefault="000A2A5B" w:rsidP="004326AD">
            <w:pPr>
              <w:spacing w:before="100" w:beforeAutospacing="1" w:line="210" w:lineRule="atLeast"/>
              <w:rPr>
                <w:rFonts w:ascii="Liberation Serif" w:eastAsia="Times New Roman" w:hAnsi="Liberation Serif" w:cs="Liberation Serif"/>
                <w:color w:val="333333"/>
                <w:sz w:val="18"/>
                <w:szCs w:val="18"/>
                <w:lang w:val="en-US"/>
              </w:rPr>
            </w:pPr>
            <w:r w:rsidRPr="000B4699">
              <w:rPr>
                <w:rFonts w:ascii="Liberation Serif" w:eastAsia="Times New Roman" w:hAnsi="Liberation Serif" w:cs="Liberation Serif"/>
                <w:color w:val="333333"/>
                <w:sz w:val="24"/>
                <w:szCs w:val="24"/>
              </w:rPr>
              <w:t xml:space="preserve">   </w:t>
            </w:r>
            <w:r w:rsidRPr="000B4699">
              <w:rPr>
                <w:rFonts w:ascii="Liberation Serif" w:eastAsia="Times New Roman" w:hAnsi="Liberation Serif" w:cs="Liberation Serif"/>
                <w:color w:val="333333"/>
                <w:sz w:val="24"/>
                <w:szCs w:val="24"/>
                <w:lang w:val="en-US"/>
              </w:rPr>
              <w:t>Совокупные активы</w:t>
            </w:r>
            <w:bookmarkStart w:id="1" w:name="_GoBack"/>
            <w:bookmarkEnd w:id="1"/>
            <w:r w:rsidRPr="000B4699">
              <w:rPr>
                <w:rFonts w:ascii="Liberation Serif" w:eastAsia="Times New Roman" w:hAnsi="Liberation Serif" w:cs="Liberation Serif"/>
                <w:color w:val="333333"/>
                <w:sz w:val="18"/>
                <w:szCs w:val="18"/>
                <w:lang w:val="en-US"/>
              </w:rPr>
              <w:t xml:space="preserve">  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0A2A5B" w:rsidRPr="008569EB" w:rsidRDefault="000A2A5B" w:rsidP="004326AD">
            <w:pPr>
              <w:ind w:firstLine="240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8569EB">
              <w:rPr>
                <w:rFonts w:ascii="Liberation Serif" w:eastAsia="Times New Roman" w:hAnsi="Liberation Serif" w:cs="Liberation Serif"/>
                <w:sz w:val="24"/>
                <w:szCs w:val="24"/>
              </w:rPr>
              <w:t>1 303,8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0A2A5B" w:rsidRPr="008569EB" w:rsidRDefault="000A2A5B" w:rsidP="004326AD">
            <w:pPr>
              <w:ind w:firstLine="240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8569EB">
              <w:rPr>
                <w:rFonts w:ascii="Liberation Serif" w:eastAsia="Times New Roman" w:hAnsi="Liberation Serif" w:cs="Liberation Serif"/>
                <w:sz w:val="24"/>
                <w:szCs w:val="24"/>
              </w:rPr>
              <w:t>1 299,2</w:t>
            </w:r>
          </w:p>
        </w:tc>
        <w:tc>
          <w:tcPr>
            <w:tcW w:w="1667" w:type="dxa"/>
            <w:tcBorders>
              <w:top w:val="none" w:sz="4" w:space="0" w:color="000000"/>
              <w:left w:val="none" w:sz="4" w:space="0" w:color="00000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0A2A5B" w:rsidRPr="008569EB" w:rsidRDefault="000A2A5B" w:rsidP="004326AD">
            <w:pPr>
              <w:ind w:firstLine="240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8569EB">
              <w:rPr>
                <w:rFonts w:ascii="Liberation Serif" w:eastAsia="Times New Roman" w:hAnsi="Liberation Serif" w:cs="Liberation Serif"/>
                <w:sz w:val="24"/>
                <w:szCs w:val="24"/>
              </w:rPr>
              <w:t>0,4%</w:t>
            </w:r>
          </w:p>
        </w:tc>
      </w:tr>
      <w:tr w:rsidR="000A2A5B" w:rsidRPr="000B4699" w:rsidTr="000A2A5B">
        <w:trPr>
          <w:gridAfter w:val="2"/>
          <w:wAfter w:w="48" w:type="dxa"/>
          <w:trHeight w:val="315"/>
        </w:trPr>
        <w:tc>
          <w:tcPr>
            <w:tcW w:w="3735" w:type="dxa"/>
            <w:gridSpan w:val="2"/>
            <w:tcBorders>
              <w:top w:val="none" w:sz="4" w:space="0" w:color="00000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noWrap/>
            <w:vAlign w:val="center"/>
          </w:tcPr>
          <w:p w:rsidR="000A2A5B" w:rsidRPr="000B4699" w:rsidRDefault="000A2A5B" w:rsidP="004326AD">
            <w:pPr>
              <w:ind w:firstLine="240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0B4699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Итого капитал 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0A2A5B" w:rsidRPr="008569EB" w:rsidRDefault="000A2A5B" w:rsidP="004326AD">
            <w:pPr>
              <w:ind w:firstLine="240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8569EB">
              <w:rPr>
                <w:rFonts w:ascii="Liberation Serif" w:eastAsia="Times New Roman" w:hAnsi="Liberation Serif" w:cs="Liberation Serif"/>
                <w:sz w:val="24"/>
                <w:szCs w:val="24"/>
              </w:rPr>
              <w:t>964,9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0A2A5B" w:rsidRPr="008569EB" w:rsidRDefault="000A2A5B" w:rsidP="004326AD">
            <w:pPr>
              <w:ind w:firstLine="240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8569EB">
              <w:rPr>
                <w:rFonts w:ascii="Liberation Serif" w:eastAsia="Times New Roman" w:hAnsi="Liberation Serif" w:cs="Liberation Serif"/>
                <w:sz w:val="24"/>
                <w:szCs w:val="24"/>
              </w:rPr>
              <w:t>929,4</w:t>
            </w:r>
          </w:p>
        </w:tc>
        <w:tc>
          <w:tcPr>
            <w:tcW w:w="1667" w:type="dxa"/>
            <w:tcBorders>
              <w:top w:val="none" w:sz="4" w:space="0" w:color="000000"/>
              <w:left w:val="none" w:sz="4" w:space="0" w:color="00000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0A2A5B" w:rsidRPr="008569EB" w:rsidRDefault="000A2A5B" w:rsidP="004326AD">
            <w:pPr>
              <w:ind w:firstLine="240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8569EB">
              <w:rPr>
                <w:rFonts w:ascii="Liberation Serif" w:eastAsia="Times New Roman" w:hAnsi="Liberation Serif" w:cs="Liberation Serif"/>
                <w:sz w:val="24"/>
                <w:szCs w:val="24"/>
              </w:rPr>
              <w:t>3,8%</w:t>
            </w:r>
          </w:p>
        </w:tc>
      </w:tr>
      <w:tr w:rsidR="000A2A5B" w:rsidRPr="000B4699" w:rsidTr="000A2A5B">
        <w:trPr>
          <w:gridAfter w:val="2"/>
          <w:wAfter w:w="48" w:type="dxa"/>
          <w:trHeight w:val="315"/>
        </w:trPr>
        <w:tc>
          <w:tcPr>
            <w:tcW w:w="3735" w:type="dxa"/>
            <w:gridSpan w:val="2"/>
            <w:tcBorders>
              <w:top w:val="none" w:sz="4" w:space="0" w:color="00000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noWrap/>
            <w:vAlign w:val="center"/>
          </w:tcPr>
          <w:p w:rsidR="000A2A5B" w:rsidRPr="000B4699" w:rsidRDefault="000A2A5B" w:rsidP="004326AD">
            <w:pPr>
              <w:ind w:firstLine="240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0B4699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Кредиты и займы 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0A2A5B" w:rsidRPr="008569EB" w:rsidRDefault="000A2A5B" w:rsidP="004326AD">
            <w:pPr>
              <w:ind w:firstLine="240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8569EB">
              <w:rPr>
                <w:rFonts w:ascii="Liberation Serif" w:eastAsia="Times New Roman" w:hAnsi="Liberation Serif" w:cs="Liberation Serif"/>
                <w:sz w:val="24"/>
                <w:szCs w:val="24"/>
              </w:rPr>
              <w:t>14,7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0A2A5B" w:rsidRPr="008569EB" w:rsidRDefault="000A2A5B" w:rsidP="004326AD">
            <w:pPr>
              <w:ind w:firstLine="240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8569EB">
              <w:rPr>
                <w:rFonts w:ascii="Liberation Serif" w:eastAsia="Times New Roman" w:hAnsi="Liberation Serif" w:cs="Liberation Serif"/>
                <w:sz w:val="24"/>
                <w:szCs w:val="24"/>
              </w:rPr>
              <w:t>20,6</w:t>
            </w:r>
          </w:p>
        </w:tc>
        <w:tc>
          <w:tcPr>
            <w:tcW w:w="1667" w:type="dxa"/>
            <w:tcBorders>
              <w:top w:val="none" w:sz="4" w:space="0" w:color="000000"/>
              <w:left w:val="none" w:sz="4" w:space="0" w:color="00000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0A2A5B" w:rsidRPr="008569EB" w:rsidRDefault="000A2A5B" w:rsidP="004326AD">
            <w:pPr>
              <w:ind w:firstLine="240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8569EB">
              <w:rPr>
                <w:rFonts w:ascii="Liberation Serif" w:eastAsia="Times New Roman" w:hAnsi="Liberation Serif" w:cs="Liberation Serif"/>
                <w:sz w:val="24"/>
                <w:szCs w:val="24"/>
              </w:rPr>
              <w:t>-28,8%</w:t>
            </w:r>
          </w:p>
        </w:tc>
      </w:tr>
      <w:tr w:rsidR="000A2A5B" w:rsidRPr="000B4699" w:rsidTr="000A2A5B">
        <w:trPr>
          <w:gridAfter w:val="2"/>
          <w:wAfter w:w="48" w:type="dxa"/>
          <w:trHeight w:val="315"/>
        </w:trPr>
        <w:tc>
          <w:tcPr>
            <w:tcW w:w="3735" w:type="dxa"/>
            <w:gridSpan w:val="2"/>
            <w:tcBorders>
              <w:top w:val="none" w:sz="4" w:space="0" w:color="00000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noWrap/>
            <w:vAlign w:val="center"/>
          </w:tcPr>
          <w:p w:rsidR="000A2A5B" w:rsidRPr="000B4699" w:rsidRDefault="000A2A5B" w:rsidP="004326AD">
            <w:pPr>
              <w:spacing w:before="100" w:beforeAutospacing="1" w:line="210" w:lineRule="atLeast"/>
              <w:rPr>
                <w:rFonts w:ascii="Liberation Serif" w:eastAsia="Times New Roman" w:hAnsi="Liberation Serif" w:cs="Liberation Serif"/>
                <w:color w:val="333333"/>
                <w:sz w:val="18"/>
                <w:szCs w:val="18"/>
                <w:lang w:val="en-US"/>
              </w:rPr>
            </w:pPr>
            <w:r w:rsidRPr="000B4699">
              <w:rPr>
                <w:rFonts w:ascii="Liberation Serif" w:eastAsia="Times New Roman" w:hAnsi="Liberation Serif" w:cs="Liberation Serif"/>
                <w:color w:val="333333"/>
                <w:sz w:val="24"/>
                <w:szCs w:val="24"/>
              </w:rPr>
              <w:t xml:space="preserve">   </w:t>
            </w:r>
            <w:r w:rsidRPr="000B4699">
              <w:rPr>
                <w:rFonts w:ascii="Liberation Serif" w:eastAsia="Times New Roman" w:hAnsi="Liberation Serif" w:cs="Liberation Serif"/>
                <w:color w:val="333333"/>
                <w:sz w:val="24"/>
                <w:szCs w:val="24"/>
                <w:lang w:val="en-US"/>
              </w:rPr>
              <w:t>Обязательства по аренде</w:t>
            </w:r>
            <w:r w:rsidRPr="000B4699">
              <w:rPr>
                <w:rFonts w:ascii="Liberation Serif" w:eastAsia="Times New Roman" w:hAnsi="Liberation Serif" w:cs="Liberation Serif"/>
                <w:color w:val="333333"/>
                <w:sz w:val="20"/>
                <w:szCs w:val="20"/>
                <w:lang w:val="en-US"/>
              </w:rPr>
              <w:t xml:space="preserve"> </w:t>
            </w:r>
            <w:r w:rsidRPr="000B4699">
              <w:rPr>
                <w:rFonts w:ascii="Liberation Serif" w:eastAsia="Times New Roman" w:hAnsi="Liberation Serif" w:cs="Liberation Serif"/>
                <w:color w:val="333333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0A2A5B" w:rsidRPr="008569EB" w:rsidRDefault="000A2A5B" w:rsidP="004326AD">
            <w:pPr>
              <w:ind w:firstLine="240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8569EB">
              <w:rPr>
                <w:rFonts w:ascii="Liberation Serif" w:eastAsia="Times New Roman" w:hAnsi="Liberation Serif" w:cs="Liberation Serif"/>
                <w:sz w:val="24"/>
                <w:szCs w:val="24"/>
              </w:rPr>
              <w:t>87,7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0A2A5B" w:rsidRPr="008569EB" w:rsidRDefault="000A2A5B" w:rsidP="004326AD">
            <w:pPr>
              <w:ind w:firstLine="240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8569EB">
              <w:rPr>
                <w:rFonts w:ascii="Liberation Serif" w:eastAsia="Times New Roman" w:hAnsi="Liberation Serif" w:cs="Liberation Serif"/>
                <w:sz w:val="24"/>
                <w:szCs w:val="24"/>
              </w:rPr>
              <w:t>86,7</w:t>
            </w:r>
          </w:p>
        </w:tc>
        <w:tc>
          <w:tcPr>
            <w:tcW w:w="1667" w:type="dxa"/>
            <w:tcBorders>
              <w:top w:val="none" w:sz="4" w:space="0" w:color="000000"/>
              <w:left w:val="none" w:sz="4" w:space="0" w:color="00000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0A2A5B" w:rsidRPr="008569EB" w:rsidRDefault="000A2A5B" w:rsidP="004326AD">
            <w:pPr>
              <w:ind w:firstLine="240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8569EB">
              <w:rPr>
                <w:rFonts w:ascii="Liberation Serif" w:eastAsia="Times New Roman" w:hAnsi="Liberation Serif" w:cs="Liberation Serif"/>
                <w:sz w:val="24"/>
                <w:szCs w:val="24"/>
              </w:rPr>
              <w:t>1,2%</w:t>
            </w:r>
          </w:p>
        </w:tc>
      </w:tr>
    </w:tbl>
    <w:p w:rsidR="000A2A5B" w:rsidRPr="000B4699" w:rsidRDefault="000A2A5B" w:rsidP="000A2A5B">
      <w:pPr>
        <w:spacing w:before="100" w:beforeAutospacing="1" w:after="375" w:line="375" w:lineRule="atLeast"/>
        <w:jc w:val="both"/>
        <w:rPr>
          <w:rFonts w:ascii="Liberation Serif" w:eastAsia="Times New Roman" w:hAnsi="Liberation Serif" w:cs="Liberation Serif"/>
          <w:i/>
          <w:sz w:val="16"/>
          <w:szCs w:val="24"/>
        </w:rPr>
      </w:pPr>
      <w:r w:rsidRPr="000B4699">
        <w:rPr>
          <w:rFonts w:ascii="Liberation Serif" w:eastAsia="Times New Roman" w:hAnsi="Liberation Serif" w:cs="Liberation Serif"/>
          <w:i/>
          <w:sz w:val="16"/>
          <w:szCs w:val="24"/>
        </w:rPr>
        <w:t>* — Анализ финансовых показателей приведён на основании данных</w:t>
      </w:r>
      <w:r>
        <w:rPr>
          <w:rFonts w:ascii="Liberation Serif" w:eastAsia="Times New Roman" w:hAnsi="Liberation Serif" w:cs="Liberation Serif"/>
          <w:i/>
          <w:sz w:val="16"/>
          <w:szCs w:val="24"/>
        </w:rPr>
        <w:t xml:space="preserve"> промежуточной финансовой информации ПАО «Интер РАО» и его дочерних организаций</w:t>
      </w:r>
      <w:r w:rsidRPr="000B4699">
        <w:rPr>
          <w:rFonts w:ascii="Liberation Serif" w:eastAsia="Times New Roman" w:hAnsi="Liberation Serif" w:cs="Liberation Serif"/>
          <w:i/>
          <w:sz w:val="16"/>
          <w:szCs w:val="24"/>
        </w:rPr>
        <w:t xml:space="preserve"> по МСФО, округлённых до млрд рублей с одним знаком после запятой. При этом процентные соотношения рассчитаны исходя из данных </w:t>
      </w:r>
      <w:r>
        <w:rPr>
          <w:rFonts w:ascii="Liberation Serif" w:eastAsia="Times New Roman" w:hAnsi="Liberation Serif" w:cs="Liberation Serif"/>
          <w:i/>
          <w:sz w:val="16"/>
          <w:szCs w:val="24"/>
        </w:rPr>
        <w:t>промежуточной финансовой информации ПАО «Интер РАО» и его дочерних организаций</w:t>
      </w:r>
      <w:r w:rsidRPr="000B4699">
        <w:rPr>
          <w:rFonts w:ascii="Liberation Serif" w:eastAsia="Times New Roman" w:hAnsi="Liberation Serif" w:cs="Liberation Serif"/>
          <w:i/>
          <w:sz w:val="16"/>
          <w:szCs w:val="24"/>
        </w:rPr>
        <w:t xml:space="preserve"> по МСФО, выраженных в млн рублей. </w:t>
      </w:r>
    </w:p>
    <w:p w:rsidR="000A2A5B" w:rsidRPr="000A2A5B" w:rsidRDefault="000A2A5B" w:rsidP="000A2A5B">
      <w:pPr>
        <w:spacing w:before="100" w:beforeAutospacing="1" w:after="375" w:line="375" w:lineRule="atLeast"/>
        <w:jc w:val="center"/>
        <w:rPr>
          <w:rFonts w:ascii="Liberation Serif" w:eastAsia="Times New Roman" w:hAnsi="Liberation Serif" w:cs="Liberation Serif"/>
          <w:b/>
          <w:sz w:val="24"/>
          <w:szCs w:val="24"/>
        </w:rPr>
      </w:pPr>
      <w:r w:rsidRPr="000A2A5B">
        <w:rPr>
          <w:rFonts w:ascii="Liberation Serif" w:eastAsia="Times New Roman" w:hAnsi="Liberation Serif" w:cs="Liberation Serif"/>
          <w:b/>
          <w:sz w:val="24"/>
          <w:szCs w:val="24"/>
        </w:rPr>
        <w:t xml:space="preserve">На динамику финансовых результатов группы существенно повлияли следующие ключевые факторы и события: </w:t>
      </w:r>
    </w:p>
    <w:p w:rsidR="000A2A5B" w:rsidRPr="00770457" w:rsidRDefault="000A2A5B" w:rsidP="000A2A5B">
      <w:pPr>
        <w:numPr>
          <w:ilvl w:val="0"/>
          <w:numId w:val="31"/>
        </w:numPr>
        <w:tabs>
          <w:tab w:val="clear" w:pos="720"/>
        </w:tabs>
        <w:spacing w:before="120" w:after="120"/>
        <w:ind w:left="714" w:hanging="357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770457">
        <w:rPr>
          <w:rFonts w:ascii="Liberation Serif" w:eastAsia="Times New Roman" w:hAnsi="Liberation Serif" w:cs="Liberation Serif"/>
          <w:sz w:val="24"/>
          <w:szCs w:val="24"/>
        </w:rPr>
        <w:t>Рост энергопотребления в Российской Федерации</w:t>
      </w:r>
    </w:p>
    <w:p w:rsidR="000A2A5B" w:rsidRPr="00770457" w:rsidRDefault="000A2A5B" w:rsidP="000A2A5B">
      <w:pPr>
        <w:numPr>
          <w:ilvl w:val="0"/>
          <w:numId w:val="31"/>
        </w:numPr>
        <w:tabs>
          <w:tab w:val="clear" w:pos="720"/>
        </w:tabs>
        <w:spacing w:before="120" w:after="120"/>
        <w:ind w:left="714" w:hanging="357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770457">
        <w:rPr>
          <w:rFonts w:ascii="Liberation Serif" w:eastAsia="Times New Roman" w:hAnsi="Liberation Serif" w:cs="Liberation Serif"/>
          <w:sz w:val="24"/>
          <w:szCs w:val="24"/>
        </w:rPr>
        <w:t>Осуществление крупных инфраструктурных проектов для электросетевого комплекса Российской Федерации</w:t>
      </w:r>
    </w:p>
    <w:p w:rsidR="000A2A5B" w:rsidRPr="00770457" w:rsidRDefault="000A2A5B" w:rsidP="000A2A5B">
      <w:pPr>
        <w:numPr>
          <w:ilvl w:val="0"/>
          <w:numId w:val="31"/>
        </w:numPr>
        <w:tabs>
          <w:tab w:val="clear" w:pos="720"/>
        </w:tabs>
        <w:spacing w:before="120" w:after="120"/>
        <w:ind w:left="714" w:hanging="357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770457">
        <w:rPr>
          <w:rFonts w:ascii="Liberation Serif" w:eastAsia="Times New Roman" w:hAnsi="Liberation Serif" w:cs="Liberation Serif"/>
          <w:sz w:val="24"/>
          <w:szCs w:val="24"/>
        </w:rPr>
        <w:t xml:space="preserve">Реализация продукции энергомашиностроительных компаний для объектов энергетики Российской Федерации </w:t>
      </w:r>
    </w:p>
    <w:p w:rsidR="000A2A5B" w:rsidRPr="00770457" w:rsidRDefault="000A2A5B" w:rsidP="000A2A5B">
      <w:pPr>
        <w:numPr>
          <w:ilvl w:val="0"/>
          <w:numId w:val="31"/>
        </w:numPr>
        <w:tabs>
          <w:tab w:val="clear" w:pos="720"/>
        </w:tabs>
        <w:spacing w:before="120" w:after="120"/>
        <w:ind w:left="714" w:hanging="357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770457">
        <w:rPr>
          <w:rFonts w:ascii="Liberation Serif" w:eastAsia="Times New Roman" w:hAnsi="Liberation Serif" w:cs="Liberation Serif"/>
          <w:sz w:val="24"/>
          <w:szCs w:val="24"/>
        </w:rPr>
        <w:lastRenderedPageBreak/>
        <w:t>Расширение географии присутствия Группы в сбытовом сегменте и приобретение компаний в сегменте Энергомашиностроение</w:t>
      </w:r>
    </w:p>
    <w:p w:rsidR="000A2A5B" w:rsidRPr="00770457" w:rsidRDefault="000A2A5B" w:rsidP="000A2A5B">
      <w:pPr>
        <w:numPr>
          <w:ilvl w:val="0"/>
          <w:numId w:val="31"/>
        </w:numPr>
        <w:tabs>
          <w:tab w:val="clear" w:pos="720"/>
        </w:tabs>
        <w:spacing w:before="120" w:after="120"/>
        <w:ind w:left="714" w:hanging="357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770457">
        <w:rPr>
          <w:rFonts w:ascii="Liberation Serif" w:eastAsia="Times New Roman" w:hAnsi="Liberation Serif" w:cs="Liberation Serif"/>
          <w:sz w:val="24"/>
          <w:szCs w:val="24"/>
        </w:rPr>
        <w:t>Благоприятная ценовая конъюнктура на рынке на сутки вперёд (РСВ)</w:t>
      </w:r>
    </w:p>
    <w:p w:rsidR="000A2A5B" w:rsidRPr="00770457" w:rsidRDefault="000A2A5B" w:rsidP="000A2A5B">
      <w:pPr>
        <w:numPr>
          <w:ilvl w:val="0"/>
          <w:numId w:val="31"/>
        </w:numPr>
        <w:tabs>
          <w:tab w:val="clear" w:pos="720"/>
        </w:tabs>
        <w:spacing w:before="120" w:after="120"/>
        <w:ind w:left="714" w:hanging="357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770457">
        <w:rPr>
          <w:rFonts w:ascii="Liberation Serif" w:eastAsia="Times New Roman" w:hAnsi="Liberation Serif" w:cs="Liberation Serif"/>
          <w:sz w:val="24"/>
          <w:szCs w:val="24"/>
        </w:rPr>
        <w:t xml:space="preserve">Окончание действия договоров ДПМ по ряду объектов и реализация программы </w:t>
      </w:r>
      <w:proofErr w:type="spellStart"/>
      <w:r w:rsidRPr="00770457">
        <w:rPr>
          <w:rFonts w:ascii="Liberation Serif" w:eastAsia="Times New Roman" w:hAnsi="Liberation Serif" w:cs="Liberation Serif"/>
          <w:sz w:val="24"/>
          <w:szCs w:val="24"/>
        </w:rPr>
        <w:t>КОММод</w:t>
      </w:r>
      <w:proofErr w:type="spellEnd"/>
    </w:p>
    <w:p w:rsidR="000A2A5B" w:rsidRPr="00770457" w:rsidRDefault="000A2A5B" w:rsidP="000A2A5B">
      <w:pPr>
        <w:spacing w:before="120" w:after="120"/>
        <w:ind w:left="714"/>
        <w:jc w:val="both"/>
        <w:rPr>
          <w:rFonts w:ascii="Liberation Serif" w:eastAsia="Times New Roman" w:hAnsi="Liberation Serif" w:cs="Liberation Serif"/>
          <w:sz w:val="24"/>
          <w:szCs w:val="24"/>
          <w:highlight w:val="yellow"/>
        </w:rPr>
      </w:pPr>
    </w:p>
    <w:p w:rsidR="000A2A5B" w:rsidRPr="00770457" w:rsidRDefault="000A2A5B" w:rsidP="000A2A5B">
      <w:pPr>
        <w:spacing w:before="100" w:beforeAutospacing="1" w:after="375" w:line="375" w:lineRule="atLeast"/>
        <w:rPr>
          <w:rFonts w:ascii="Liberation Serif" w:eastAsia="Times New Roman" w:hAnsi="Liberation Serif" w:cs="Liberation Serif"/>
          <w:b/>
          <w:bCs/>
          <w:sz w:val="24"/>
          <w:szCs w:val="24"/>
        </w:rPr>
      </w:pPr>
      <w:r w:rsidRPr="00770457">
        <w:rPr>
          <w:rFonts w:ascii="Liberation Serif" w:eastAsia="Times New Roman" w:hAnsi="Liberation Serif" w:cs="Liberation Serif"/>
          <w:b/>
          <w:bCs/>
          <w:sz w:val="24"/>
          <w:szCs w:val="24"/>
        </w:rPr>
        <w:t xml:space="preserve">ПРОМЕЖУТОЧНЫЙ КОНСОЛИДИРОВАННЫЙ ОТЧЁТ О СОВОКУПНОМ ДОХОДЕ </w:t>
      </w:r>
    </w:p>
    <w:p w:rsidR="000A2A5B" w:rsidRPr="006C1675" w:rsidRDefault="000A2A5B" w:rsidP="000A2A5B">
      <w:pPr>
        <w:jc w:val="both"/>
        <w:rPr>
          <w:rFonts w:ascii="Liberation Serif" w:eastAsia="Times New Roman" w:hAnsi="Liberation Serif" w:cs="Liberation Serif"/>
          <w:b/>
          <w:bCs/>
          <w:sz w:val="24"/>
          <w:szCs w:val="24"/>
        </w:rPr>
      </w:pPr>
      <w:r w:rsidRPr="006C1675">
        <w:rPr>
          <w:rFonts w:ascii="Liberation Serif" w:eastAsia="Times New Roman" w:hAnsi="Liberation Serif" w:cs="Liberation Serif"/>
          <w:b/>
          <w:bCs/>
          <w:sz w:val="24"/>
          <w:szCs w:val="24"/>
        </w:rPr>
        <w:t>Выручка Группы увеличилась на 10,7% (70,6 млрд рублей) и составила</w:t>
      </w:r>
      <w:r>
        <w:rPr>
          <w:rFonts w:ascii="Liberation Serif" w:eastAsia="Times New Roman" w:hAnsi="Liberation Serif" w:cs="Liberation Serif"/>
          <w:b/>
          <w:bCs/>
          <w:sz w:val="24"/>
          <w:szCs w:val="24"/>
        </w:rPr>
        <w:t xml:space="preserve"> </w:t>
      </w:r>
      <w:r w:rsidRPr="006C1675">
        <w:rPr>
          <w:rFonts w:ascii="Liberation Serif" w:eastAsia="Times New Roman" w:hAnsi="Liberation Serif" w:cs="Liberation Serif"/>
          <w:b/>
          <w:bCs/>
          <w:sz w:val="24"/>
          <w:szCs w:val="24"/>
        </w:rPr>
        <w:t>728,0 млрд рублей.</w:t>
      </w:r>
    </w:p>
    <w:p w:rsidR="000A2A5B" w:rsidRPr="006C1675" w:rsidRDefault="000A2A5B" w:rsidP="000A2A5B">
      <w:pPr>
        <w:spacing w:before="100" w:beforeAutospacing="1" w:after="375" w:line="375" w:lineRule="atLeast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6C1675">
        <w:rPr>
          <w:rFonts w:ascii="Liberation Serif" w:eastAsia="Times New Roman" w:hAnsi="Liberation Serif" w:cs="Liberation Serif"/>
          <w:sz w:val="24"/>
          <w:szCs w:val="24"/>
        </w:rPr>
        <w:t xml:space="preserve">Лидер по росту – </w:t>
      </w:r>
      <w:r w:rsidRPr="006C1675">
        <w:rPr>
          <w:rFonts w:ascii="Liberation Serif" w:eastAsia="Times New Roman" w:hAnsi="Liberation Serif" w:cs="Liberation Serif"/>
          <w:b/>
          <w:i/>
          <w:sz w:val="24"/>
          <w:szCs w:val="24"/>
        </w:rPr>
        <w:t>сбытовой сегмент,</w:t>
      </w:r>
      <w:r w:rsidRPr="006C1675">
        <w:rPr>
          <w:rFonts w:ascii="Liberation Serif" w:eastAsia="Times New Roman" w:hAnsi="Liberation Serif" w:cs="Liberation Serif"/>
          <w:sz w:val="24"/>
          <w:szCs w:val="24"/>
        </w:rPr>
        <w:t xml:space="preserve"> выручка которого увеличилась на 35,3 млрд рублей (7,8%), до 489,1 млрд рублей. Позитивный эффект достигнут преимущественно за счёт роста полезного отпу</w:t>
      </w:r>
      <w:r w:rsidRPr="00AE482B">
        <w:rPr>
          <w:rFonts w:ascii="Liberation Serif" w:eastAsia="Times New Roman" w:hAnsi="Liberation Serif" w:cs="Liberation Serif"/>
          <w:sz w:val="24"/>
          <w:szCs w:val="24"/>
        </w:rPr>
        <w:t xml:space="preserve">ска, расширения клиентской базы и приобретения в феврале 2024 года двух </w:t>
      </w:r>
      <w:r w:rsidRPr="006C1675">
        <w:rPr>
          <w:rFonts w:ascii="Liberation Serif" w:eastAsia="Times New Roman" w:hAnsi="Liberation Serif" w:cs="Liberation Serif"/>
          <w:sz w:val="24"/>
          <w:szCs w:val="24"/>
        </w:rPr>
        <w:t>гарантирующих поставщиков: АО «</w:t>
      </w:r>
      <w:proofErr w:type="spellStart"/>
      <w:r w:rsidRPr="006C1675">
        <w:rPr>
          <w:rFonts w:ascii="Liberation Serif" w:eastAsia="Times New Roman" w:hAnsi="Liberation Serif" w:cs="Liberation Serif"/>
          <w:sz w:val="24"/>
          <w:szCs w:val="24"/>
        </w:rPr>
        <w:t>Екатеринбургэнергосбыт</w:t>
      </w:r>
      <w:proofErr w:type="spellEnd"/>
      <w:r w:rsidRPr="006C1675">
        <w:rPr>
          <w:rFonts w:ascii="Liberation Serif" w:eastAsia="Times New Roman" w:hAnsi="Liberation Serif" w:cs="Liberation Serif"/>
          <w:sz w:val="24"/>
          <w:szCs w:val="24"/>
        </w:rPr>
        <w:t>» и АО «</w:t>
      </w:r>
      <w:proofErr w:type="spellStart"/>
      <w:r w:rsidRPr="006C1675">
        <w:rPr>
          <w:rFonts w:ascii="Liberation Serif" w:eastAsia="Times New Roman" w:hAnsi="Liberation Serif" w:cs="Liberation Serif"/>
          <w:sz w:val="24"/>
          <w:szCs w:val="24"/>
        </w:rPr>
        <w:t>Псковэнергосбыт</w:t>
      </w:r>
      <w:proofErr w:type="spellEnd"/>
      <w:r w:rsidRPr="006C1675">
        <w:rPr>
          <w:rFonts w:ascii="Liberation Serif" w:eastAsia="Times New Roman" w:hAnsi="Liberation Serif" w:cs="Liberation Serif"/>
          <w:sz w:val="24"/>
          <w:szCs w:val="24"/>
        </w:rPr>
        <w:t xml:space="preserve">». </w:t>
      </w:r>
    </w:p>
    <w:p w:rsidR="000A2A5B" w:rsidRPr="006C1675" w:rsidRDefault="000A2A5B" w:rsidP="000A2A5B">
      <w:pPr>
        <w:spacing w:before="100" w:beforeAutospacing="1" w:after="375" w:line="375" w:lineRule="atLeast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6C1675">
        <w:rPr>
          <w:rFonts w:ascii="Liberation Serif" w:eastAsia="Times New Roman" w:hAnsi="Liberation Serif" w:cs="Liberation Serif"/>
          <w:b/>
          <w:sz w:val="24"/>
          <w:szCs w:val="24"/>
        </w:rPr>
        <w:t xml:space="preserve">В сегменте </w:t>
      </w:r>
      <w:r w:rsidRPr="006C1675">
        <w:rPr>
          <w:rFonts w:ascii="Liberation Serif" w:eastAsia="Times New Roman" w:hAnsi="Liberation Serif" w:cs="Liberation Serif"/>
          <w:b/>
          <w:i/>
          <w:sz w:val="24"/>
          <w:szCs w:val="24"/>
        </w:rPr>
        <w:t>«</w:t>
      </w:r>
      <w:proofErr w:type="spellStart"/>
      <w:r w:rsidRPr="006C1675">
        <w:rPr>
          <w:rFonts w:ascii="Liberation Serif" w:eastAsia="Times New Roman" w:hAnsi="Liberation Serif" w:cs="Liberation Serif"/>
          <w:b/>
          <w:i/>
          <w:sz w:val="24"/>
          <w:szCs w:val="24"/>
        </w:rPr>
        <w:t>Теплогенерация</w:t>
      </w:r>
      <w:proofErr w:type="spellEnd"/>
      <w:r w:rsidRPr="006C1675">
        <w:rPr>
          <w:rFonts w:ascii="Liberation Serif" w:eastAsia="Times New Roman" w:hAnsi="Liberation Serif" w:cs="Liberation Serif"/>
          <w:b/>
          <w:i/>
          <w:sz w:val="24"/>
          <w:szCs w:val="24"/>
        </w:rPr>
        <w:t xml:space="preserve"> в Российской Федерации»</w:t>
      </w:r>
      <w:r w:rsidRPr="006C1675">
        <w:rPr>
          <w:rFonts w:ascii="Liberation Serif" w:eastAsia="Times New Roman" w:hAnsi="Liberation Serif" w:cs="Liberation Serif"/>
          <w:sz w:val="24"/>
          <w:szCs w:val="24"/>
        </w:rPr>
        <w:t xml:space="preserve"> выручка возросла на 2,5 млрд рублей (4,8%) и составила 54,1 млрд рублей. Рост показателя вызван увеличением цены электроэнергии</w:t>
      </w:r>
      <w:r w:rsidRPr="00B9175D">
        <w:rPr>
          <w:rFonts w:ascii="Liberation Serif" w:eastAsia="Times New Roman" w:hAnsi="Liberation Serif" w:cs="Liberation Serif"/>
          <w:sz w:val="24"/>
          <w:szCs w:val="24"/>
        </w:rPr>
        <w:t xml:space="preserve"> на РСВ, ростом полезного отпуска тепловой энергии</w:t>
      </w:r>
      <w:r>
        <w:rPr>
          <w:rFonts w:ascii="Liberation Serif" w:eastAsia="Times New Roman" w:hAnsi="Liberation Serif" w:cs="Liberation Serif"/>
          <w:sz w:val="24"/>
          <w:szCs w:val="24"/>
        </w:rPr>
        <w:t xml:space="preserve">, а также </w:t>
      </w:r>
      <w:bookmarkStart w:id="2" w:name="_Hlk133411406"/>
      <w:r w:rsidRPr="00716880">
        <w:rPr>
          <w:rFonts w:ascii="Liberation Serif" w:eastAsia="Times New Roman" w:hAnsi="Liberation Serif" w:cs="Liberation Serif"/>
          <w:sz w:val="24"/>
          <w:szCs w:val="24"/>
        </w:rPr>
        <w:t xml:space="preserve">включением с 01.01.2024 инвестиционной составляющей в тариф в рамках реализации проекта </w:t>
      </w:r>
      <w:proofErr w:type="spellStart"/>
      <w:r w:rsidRPr="00716880">
        <w:rPr>
          <w:rFonts w:ascii="Liberation Serif" w:eastAsia="Times New Roman" w:hAnsi="Liberation Serif" w:cs="Liberation Serif"/>
          <w:sz w:val="24"/>
          <w:szCs w:val="24"/>
        </w:rPr>
        <w:t>КОММод</w:t>
      </w:r>
      <w:proofErr w:type="spellEnd"/>
      <w:r w:rsidRPr="00716880">
        <w:rPr>
          <w:rFonts w:ascii="Liberation Serif" w:eastAsia="Times New Roman" w:hAnsi="Liberation Serif" w:cs="Liberation Serif"/>
          <w:sz w:val="24"/>
          <w:szCs w:val="24"/>
        </w:rPr>
        <w:t xml:space="preserve"> по блоку №3 </w:t>
      </w:r>
      <w:proofErr w:type="spellStart"/>
      <w:r w:rsidRPr="00716880">
        <w:rPr>
          <w:rFonts w:ascii="Liberation Serif" w:eastAsia="Times New Roman" w:hAnsi="Liberation Serif" w:cs="Liberation Serif"/>
          <w:sz w:val="24"/>
          <w:szCs w:val="24"/>
        </w:rPr>
        <w:t>Кармановской</w:t>
      </w:r>
      <w:proofErr w:type="spellEnd"/>
      <w:r w:rsidRPr="00716880">
        <w:rPr>
          <w:rFonts w:ascii="Liberation Serif" w:eastAsia="Times New Roman" w:hAnsi="Liberation Serif" w:cs="Liberation Serif"/>
          <w:sz w:val="24"/>
          <w:szCs w:val="24"/>
        </w:rPr>
        <w:t xml:space="preserve"> ГРЭС</w:t>
      </w:r>
      <w:bookmarkEnd w:id="2"/>
      <w:r>
        <w:rPr>
          <w:rFonts w:ascii="Liberation Serif" w:eastAsia="Times New Roman" w:hAnsi="Liberation Serif" w:cs="Liberation Serif"/>
          <w:sz w:val="24"/>
          <w:szCs w:val="24"/>
        </w:rPr>
        <w:t xml:space="preserve">. </w:t>
      </w:r>
      <w:r w:rsidRPr="009F6C37">
        <w:rPr>
          <w:rFonts w:ascii="Liberation Serif" w:hAnsi="Liberation Serif" w:cs="Liberation Serif"/>
          <w:sz w:val="18"/>
        </w:rPr>
        <w:t xml:space="preserve"> </w:t>
      </w:r>
      <w:r>
        <w:rPr>
          <w:rFonts w:ascii="Liberation Serif" w:eastAsia="Times New Roman" w:hAnsi="Liberation Serif" w:cs="Liberation Serif"/>
          <w:sz w:val="24"/>
          <w:szCs w:val="24"/>
        </w:rPr>
        <w:t>Частично сдерживающим фактором стал вывод ряда блоков в модернизацию и ремонт.</w:t>
      </w:r>
    </w:p>
    <w:p w:rsidR="000A2A5B" w:rsidRPr="00770457" w:rsidRDefault="000A2A5B" w:rsidP="000A2A5B">
      <w:pPr>
        <w:spacing w:after="60" w:line="375" w:lineRule="atLeast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6C1675">
        <w:rPr>
          <w:rFonts w:ascii="Liberation Serif" w:eastAsia="Times New Roman" w:hAnsi="Liberation Serif" w:cs="Liberation Serif"/>
          <w:b/>
          <w:sz w:val="24"/>
          <w:szCs w:val="24"/>
        </w:rPr>
        <w:t xml:space="preserve">Выручка </w:t>
      </w:r>
      <w:r w:rsidRPr="006C1675">
        <w:rPr>
          <w:rFonts w:ascii="Liberation Serif" w:eastAsia="Times New Roman" w:hAnsi="Liberation Serif" w:cs="Liberation Serif"/>
          <w:b/>
          <w:i/>
          <w:sz w:val="24"/>
          <w:szCs w:val="24"/>
        </w:rPr>
        <w:t>в сегменте «</w:t>
      </w:r>
      <w:proofErr w:type="spellStart"/>
      <w:r w:rsidRPr="006C1675">
        <w:rPr>
          <w:rFonts w:ascii="Liberation Serif" w:eastAsia="Times New Roman" w:hAnsi="Liberation Serif" w:cs="Liberation Serif"/>
          <w:b/>
          <w:i/>
          <w:sz w:val="24"/>
          <w:szCs w:val="24"/>
        </w:rPr>
        <w:t>Электрогенерация</w:t>
      </w:r>
      <w:proofErr w:type="spellEnd"/>
      <w:r w:rsidRPr="006C1675">
        <w:rPr>
          <w:rFonts w:ascii="Liberation Serif" w:eastAsia="Times New Roman" w:hAnsi="Liberation Serif" w:cs="Liberation Serif"/>
          <w:b/>
          <w:i/>
          <w:sz w:val="24"/>
          <w:szCs w:val="24"/>
        </w:rPr>
        <w:t xml:space="preserve"> в Российской Федерации» </w:t>
      </w:r>
      <w:r w:rsidRPr="006C1675">
        <w:rPr>
          <w:rFonts w:ascii="Liberation Serif" w:eastAsia="Times New Roman" w:hAnsi="Liberation Serif" w:cs="Liberation Serif"/>
          <w:sz w:val="24"/>
          <w:szCs w:val="24"/>
        </w:rPr>
        <w:t xml:space="preserve">возросла относительно сопоставимого периода на 2,2 млрд рублей (2,6%), до 83,6 млрд рублей. Положительный эффект от роста выработки и увеличения цен на РСВ, а также ввода мощностей в секторе </w:t>
      </w:r>
      <w:proofErr w:type="spellStart"/>
      <w:r w:rsidRPr="006C1675">
        <w:rPr>
          <w:rFonts w:ascii="Liberation Serif" w:eastAsia="Times New Roman" w:hAnsi="Liberation Serif" w:cs="Liberation Serif"/>
          <w:sz w:val="24"/>
          <w:szCs w:val="24"/>
        </w:rPr>
        <w:t>КОММод</w:t>
      </w:r>
      <w:proofErr w:type="spellEnd"/>
      <w:r w:rsidRPr="006C1675">
        <w:rPr>
          <w:rFonts w:ascii="Liberation Serif" w:eastAsia="Times New Roman" w:hAnsi="Liberation Serif" w:cs="Liberation Serif"/>
          <w:sz w:val="24"/>
          <w:szCs w:val="24"/>
        </w:rPr>
        <w:t xml:space="preserve">, был частично нивелирован снижением выручки в секторе ДПМ в связи с окончанием сроков действия договоров по Южноуральской ГРЭС, </w:t>
      </w:r>
      <w:proofErr w:type="spellStart"/>
      <w:r w:rsidRPr="006C1675">
        <w:rPr>
          <w:rFonts w:ascii="Liberation Serif" w:eastAsia="Times New Roman" w:hAnsi="Liberation Serif" w:cs="Liberation Serif"/>
          <w:sz w:val="24"/>
          <w:szCs w:val="24"/>
        </w:rPr>
        <w:t>Черепетской</w:t>
      </w:r>
      <w:proofErr w:type="spellEnd"/>
      <w:r w:rsidRPr="006C1675">
        <w:rPr>
          <w:rFonts w:ascii="Liberation Serif" w:eastAsia="Times New Roman" w:hAnsi="Liberation Serif" w:cs="Liberation Serif"/>
          <w:sz w:val="24"/>
          <w:szCs w:val="24"/>
        </w:rPr>
        <w:t xml:space="preserve"> ГРЭС и </w:t>
      </w:r>
      <w:proofErr w:type="spellStart"/>
      <w:r w:rsidRPr="006C1675">
        <w:rPr>
          <w:rFonts w:ascii="Liberation Serif" w:eastAsia="Times New Roman" w:hAnsi="Liberation Serif" w:cs="Liberation Serif"/>
          <w:sz w:val="24"/>
          <w:szCs w:val="24"/>
        </w:rPr>
        <w:t>Джубгинской</w:t>
      </w:r>
      <w:proofErr w:type="spellEnd"/>
      <w:r w:rsidRPr="006C1675">
        <w:rPr>
          <w:rFonts w:ascii="Liberation Serif" w:eastAsia="Times New Roman" w:hAnsi="Liberation Serif" w:cs="Liberation Serif"/>
          <w:sz w:val="24"/>
          <w:szCs w:val="24"/>
        </w:rPr>
        <w:t xml:space="preserve"> ТЭС, а также в результате вывода в модернизацию и ремо</w:t>
      </w:r>
      <w:r w:rsidRPr="00770457">
        <w:rPr>
          <w:rFonts w:ascii="Liberation Serif" w:eastAsia="Times New Roman" w:hAnsi="Liberation Serif" w:cs="Liberation Serif"/>
          <w:sz w:val="24"/>
          <w:szCs w:val="24"/>
        </w:rPr>
        <w:t xml:space="preserve">нт ряда </w:t>
      </w:r>
      <w:r>
        <w:rPr>
          <w:rFonts w:ascii="Liberation Serif" w:eastAsia="Times New Roman" w:hAnsi="Liberation Serif" w:cs="Liberation Serif"/>
          <w:sz w:val="24"/>
          <w:szCs w:val="24"/>
        </w:rPr>
        <w:t xml:space="preserve">блоков на </w:t>
      </w:r>
      <w:r w:rsidRPr="00770457">
        <w:rPr>
          <w:rFonts w:ascii="Liberation Serif" w:eastAsia="Times New Roman" w:hAnsi="Liberation Serif" w:cs="Liberation Serif"/>
          <w:sz w:val="24"/>
          <w:szCs w:val="24"/>
        </w:rPr>
        <w:t>станци</w:t>
      </w:r>
      <w:r>
        <w:rPr>
          <w:rFonts w:ascii="Liberation Serif" w:eastAsia="Times New Roman" w:hAnsi="Liberation Serif" w:cs="Liberation Serif"/>
          <w:sz w:val="24"/>
          <w:szCs w:val="24"/>
        </w:rPr>
        <w:t>ях</w:t>
      </w:r>
      <w:r w:rsidRPr="00770457">
        <w:rPr>
          <w:rFonts w:ascii="Liberation Serif" w:eastAsia="Times New Roman" w:hAnsi="Liberation Serif" w:cs="Liberation Serif"/>
          <w:sz w:val="24"/>
          <w:szCs w:val="24"/>
        </w:rPr>
        <w:t xml:space="preserve"> сегмента</w:t>
      </w:r>
      <w:r>
        <w:rPr>
          <w:rFonts w:ascii="Liberation Serif" w:eastAsia="Times New Roman" w:hAnsi="Liberation Serif" w:cs="Liberation Serif"/>
          <w:sz w:val="24"/>
          <w:szCs w:val="24"/>
        </w:rPr>
        <w:t>.</w:t>
      </w:r>
      <w:r w:rsidRPr="00770457">
        <w:rPr>
          <w:rFonts w:ascii="Liberation Serif" w:eastAsia="Times New Roman" w:hAnsi="Liberation Serif" w:cs="Liberation Serif"/>
          <w:sz w:val="24"/>
          <w:szCs w:val="24"/>
        </w:rPr>
        <w:t xml:space="preserve"> </w:t>
      </w:r>
    </w:p>
    <w:p w:rsidR="000A2A5B" w:rsidRPr="00770457" w:rsidRDefault="000A2A5B" w:rsidP="000A2A5B">
      <w:pPr>
        <w:spacing w:before="100" w:beforeAutospacing="1" w:after="375" w:line="375" w:lineRule="atLeast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5224C8">
        <w:rPr>
          <w:rFonts w:ascii="Liberation Serif" w:eastAsia="Times New Roman" w:hAnsi="Liberation Serif" w:cs="Liberation Serif"/>
          <w:b/>
          <w:i/>
          <w:sz w:val="24"/>
          <w:szCs w:val="24"/>
        </w:rPr>
        <w:t>Сегмент «Инжиниринг»</w:t>
      </w:r>
      <w:r w:rsidRPr="005224C8">
        <w:rPr>
          <w:rFonts w:ascii="Liberation Serif" w:eastAsia="Times New Roman" w:hAnsi="Liberation Serif" w:cs="Liberation Serif"/>
          <w:sz w:val="24"/>
          <w:szCs w:val="24"/>
        </w:rPr>
        <w:t xml:space="preserve"> продемонстрировал рост выручки на 16,3 млрд рублей (77,0%) по сравнению с результатом за </w:t>
      </w:r>
      <w:r w:rsidRPr="005224C8">
        <w:rPr>
          <w:rFonts w:ascii="Liberation Serif" w:eastAsia="Times New Roman" w:hAnsi="Liberation Serif" w:cs="Liberation Serif"/>
          <w:sz w:val="24"/>
          <w:szCs w:val="24"/>
          <w:lang w:val="en-US"/>
        </w:rPr>
        <w:t>I</w:t>
      </w:r>
      <w:r w:rsidRPr="005224C8">
        <w:rPr>
          <w:rFonts w:ascii="Liberation Serif" w:eastAsia="Times New Roman" w:hAnsi="Liberation Serif" w:cs="Liberation Serif"/>
          <w:sz w:val="24"/>
          <w:szCs w:val="24"/>
        </w:rPr>
        <w:t xml:space="preserve"> полугодие 2023 года, до 37,4 млрд рублей. Группа наращивает показатели в рамках осуществления крупных проектов</w:t>
      </w:r>
      <w:r w:rsidRPr="00770457">
        <w:rPr>
          <w:rFonts w:ascii="Liberation Serif" w:eastAsia="Times New Roman" w:hAnsi="Liberation Serif" w:cs="Liberation Serif"/>
          <w:sz w:val="24"/>
          <w:szCs w:val="24"/>
        </w:rPr>
        <w:t xml:space="preserve"> для электросетевого комплекса Российской Федерации.</w:t>
      </w:r>
    </w:p>
    <w:p w:rsidR="000A2A5B" w:rsidRPr="00770457" w:rsidRDefault="000A2A5B" w:rsidP="000A2A5B">
      <w:pPr>
        <w:spacing w:before="100" w:beforeAutospacing="1" w:after="375" w:line="375" w:lineRule="atLeast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0545DA">
        <w:rPr>
          <w:rFonts w:ascii="Liberation Serif" w:eastAsia="Times New Roman" w:hAnsi="Liberation Serif" w:cs="Liberation Serif"/>
          <w:sz w:val="24"/>
          <w:szCs w:val="24"/>
        </w:rPr>
        <w:t xml:space="preserve">Выручка </w:t>
      </w:r>
      <w:r w:rsidRPr="000545DA">
        <w:rPr>
          <w:rFonts w:ascii="Liberation Serif" w:eastAsia="Times New Roman" w:hAnsi="Liberation Serif" w:cs="Liberation Serif"/>
          <w:b/>
          <w:i/>
          <w:sz w:val="24"/>
          <w:szCs w:val="24"/>
        </w:rPr>
        <w:t>сегмента «Энергомашиностроение»</w:t>
      </w:r>
      <w:r w:rsidRPr="000545DA">
        <w:rPr>
          <w:rFonts w:ascii="Liberation Serif" w:eastAsia="Times New Roman" w:hAnsi="Liberation Serif" w:cs="Liberation Serif"/>
          <w:sz w:val="24"/>
          <w:szCs w:val="24"/>
        </w:rPr>
        <w:t xml:space="preserve"> за отчётный период составила 13,9 млрд рублей (рост на 11,0 млрд рублей, или в 4,9 раза) и в основном сформирована компаниями, производящими и реализующими турбины</w:t>
      </w:r>
      <w:r w:rsidRPr="00770457">
        <w:rPr>
          <w:rFonts w:ascii="Liberation Serif" w:eastAsia="Times New Roman" w:hAnsi="Liberation Serif" w:cs="Liberation Serif"/>
          <w:sz w:val="24"/>
          <w:szCs w:val="24"/>
        </w:rPr>
        <w:t>, высоковольтные трансформаторы и запасные части. Рост показателя в значительной степени достигнут за счёт расширения периметра Группы в середине 2023 года - начале 2024 года.</w:t>
      </w:r>
    </w:p>
    <w:p w:rsidR="000A2A5B" w:rsidRPr="00770457" w:rsidRDefault="000A2A5B" w:rsidP="000A2A5B">
      <w:pPr>
        <w:spacing w:after="60" w:line="375" w:lineRule="atLeast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0545DA">
        <w:rPr>
          <w:rFonts w:ascii="Liberation Serif" w:eastAsia="Times New Roman" w:hAnsi="Liberation Serif" w:cs="Liberation Serif"/>
          <w:sz w:val="24"/>
          <w:szCs w:val="24"/>
        </w:rPr>
        <w:lastRenderedPageBreak/>
        <w:t xml:space="preserve">Выручка </w:t>
      </w:r>
      <w:r w:rsidRPr="000545DA">
        <w:rPr>
          <w:rFonts w:ascii="Liberation Serif" w:eastAsia="Times New Roman" w:hAnsi="Liberation Serif" w:cs="Liberation Serif"/>
          <w:b/>
          <w:i/>
          <w:sz w:val="24"/>
          <w:szCs w:val="24"/>
        </w:rPr>
        <w:t>сегмента «Трейдинг»</w:t>
      </w:r>
      <w:r w:rsidRPr="000545DA">
        <w:rPr>
          <w:rFonts w:ascii="Liberation Serif" w:eastAsia="Times New Roman" w:hAnsi="Liberation Serif" w:cs="Liberation Serif"/>
          <w:sz w:val="24"/>
          <w:szCs w:val="24"/>
        </w:rPr>
        <w:t xml:space="preserve"> составила по итогам </w:t>
      </w:r>
      <w:r w:rsidRPr="000545DA">
        <w:rPr>
          <w:rFonts w:ascii="Liberation Serif" w:eastAsia="Times New Roman" w:hAnsi="Liberation Serif" w:cs="Liberation Serif"/>
          <w:sz w:val="24"/>
          <w:szCs w:val="24"/>
          <w:lang w:val="en-US"/>
        </w:rPr>
        <w:t>I</w:t>
      </w:r>
      <w:r w:rsidRPr="000545DA">
        <w:rPr>
          <w:rFonts w:ascii="Liberation Serif" w:eastAsia="Times New Roman" w:hAnsi="Liberation Serif" w:cs="Liberation Serif"/>
          <w:sz w:val="24"/>
          <w:szCs w:val="24"/>
        </w:rPr>
        <w:t xml:space="preserve"> полугодия 2024 года 23,7 млрд рублей, снизившись на 0,5 млрд рублей относительно сопоставимого периода.</w:t>
      </w:r>
      <w:r>
        <w:rPr>
          <w:rFonts w:ascii="Liberation Serif" w:eastAsia="Times New Roman" w:hAnsi="Liberation Serif" w:cs="Liberation Serif"/>
          <w:sz w:val="24"/>
          <w:szCs w:val="24"/>
        </w:rPr>
        <w:t xml:space="preserve"> Несмотря на рост выручки</w:t>
      </w:r>
      <w:r w:rsidRPr="00770457">
        <w:rPr>
          <w:rFonts w:ascii="Liberation Serif" w:eastAsia="Times New Roman" w:hAnsi="Liberation Serif" w:cs="Liberation Serif"/>
          <w:sz w:val="24"/>
          <w:szCs w:val="24"/>
        </w:rPr>
        <w:t xml:space="preserve"> по направлени</w:t>
      </w:r>
      <w:r>
        <w:rPr>
          <w:rFonts w:ascii="Liberation Serif" w:eastAsia="Times New Roman" w:hAnsi="Liberation Serif" w:cs="Liberation Serif"/>
          <w:sz w:val="24"/>
          <w:szCs w:val="24"/>
        </w:rPr>
        <w:t>ям</w:t>
      </w:r>
      <w:r w:rsidRPr="00770457">
        <w:rPr>
          <w:rFonts w:ascii="Liberation Serif" w:eastAsia="Times New Roman" w:hAnsi="Liberation Serif" w:cs="Liberation Serif"/>
          <w:sz w:val="24"/>
          <w:szCs w:val="24"/>
        </w:rPr>
        <w:t xml:space="preserve"> Казахстана, Монголии и Киргизии</w:t>
      </w:r>
      <w:r>
        <w:rPr>
          <w:rFonts w:ascii="Liberation Serif" w:eastAsia="Times New Roman" w:hAnsi="Liberation Serif" w:cs="Liberation Serif"/>
          <w:sz w:val="24"/>
          <w:szCs w:val="24"/>
        </w:rPr>
        <w:t>, итоговый показатель</w:t>
      </w:r>
      <w:r w:rsidRPr="00770457">
        <w:rPr>
          <w:rFonts w:ascii="Liberation Serif" w:eastAsia="Times New Roman" w:hAnsi="Liberation Serif" w:cs="Liberation Serif"/>
          <w:sz w:val="24"/>
          <w:szCs w:val="24"/>
        </w:rPr>
        <w:t xml:space="preserve"> </w:t>
      </w:r>
      <w:r>
        <w:rPr>
          <w:rFonts w:ascii="Liberation Serif" w:eastAsia="Times New Roman" w:hAnsi="Liberation Serif" w:cs="Liberation Serif"/>
          <w:sz w:val="24"/>
          <w:szCs w:val="24"/>
        </w:rPr>
        <w:t xml:space="preserve">снизился из-за сокращения объёмов поставок </w:t>
      </w:r>
      <w:r w:rsidRPr="000A2A5B">
        <w:rPr>
          <w:rFonts w:ascii="Liberation Serif" w:eastAsia="Times New Roman" w:hAnsi="Liberation Serif" w:cs="Liberation Serif"/>
          <w:sz w:val="24"/>
          <w:szCs w:val="24"/>
        </w:rPr>
        <w:t>в Китай (по причине дефицита мощности на Дальнем Востоке, вызванной ремонтами энергооборудования и низкой водностью, не позволяющей нарастить объём выработки ГЭС, на фоне высокого роста энергопотребления).</w:t>
      </w:r>
    </w:p>
    <w:p w:rsidR="000A2A5B" w:rsidRPr="00134DEB" w:rsidRDefault="000A2A5B" w:rsidP="000A2A5B">
      <w:pPr>
        <w:spacing w:before="100" w:beforeAutospacing="1" w:after="375" w:line="375" w:lineRule="atLeast"/>
        <w:jc w:val="both"/>
        <w:rPr>
          <w:rFonts w:ascii="Liberation Serif" w:eastAsia="Times New Roman" w:hAnsi="Liberation Serif" w:cs="Liberation Serif"/>
          <w:b/>
          <w:bCs/>
          <w:sz w:val="24"/>
          <w:szCs w:val="24"/>
        </w:rPr>
      </w:pPr>
      <w:r w:rsidRPr="00134DEB">
        <w:rPr>
          <w:rFonts w:ascii="Liberation Serif" w:eastAsia="Times New Roman" w:hAnsi="Liberation Serif" w:cs="Liberation Serif"/>
          <w:b/>
          <w:bCs/>
          <w:sz w:val="24"/>
          <w:szCs w:val="24"/>
        </w:rPr>
        <w:t xml:space="preserve">Операционные расходы увеличились по сравнению с сопоставимым периодом на 75,5 млрд рублей (12,7%) и составили 671,1 млрд рублей. </w:t>
      </w:r>
    </w:p>
    <w:p w:rsidR="000A2A5B" w:rsidRPr="00925972" w:rsidRDefault="000A2A5B" w:rsidP="000A2A5B">
      <w:pPr>
        <w:spacing w:before="40" w:after="80" w:line="36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134DEB">
        <w:rPr>
          <w:rFonts w:ascii="Liberation Serif" w:hAnsi="Liberation Serif" w:cs="Liberation Serif"/>
          <w:b/>
          <w:i/>
          <w:sz w:val="24"/>
          <w:szCs w:val="24"/>
        </w:rPr>
        <w:t>Расходы на приобретение электроэнергии и мощности</w:t>
      </w:r>
      <w:r w:rsidRPr="00134DEB">
        <w:rPr>
          <w:rFonts w:ascii="Liberation Serif" w:hAnsi="Liberation Serif" w:cs="Liberation Serif"/>
          <w:sz w:val="24"/>
          <w:szCs w:val="24"/>
        </w:rPr>
        <w:t xml:space="preserve"> по отношению к сопоставимому периоду увеличились на 20,5 млрд рублей (8,2%), составив 268,8 млрд рублей. Основной источник роста – сбытовые компании, нарастившие объ</w:t>
      </w:r>
      <w:r w:rsidRPr="00134DEB">
        <w:rPr>
          <w:rFonts w:ascii="Liberation Serif" w:eastAsia="Times New Roman" w:hAnsi="Liberation Serif" w:cs="Liberation Serif"/>
          <w:sz w:val="24"/>
          <w:szCs w:val="24"/>
        </w:rPr>
        <w:t>ё</w:t>
      </w:r>
      <w:r w:rsidRPr="00134DEB">
        <w:rPr>
          <w:rFonts w:ascii="Liberation Serif" w:hAnsi="Liberation Serif" w:cs="Liberation Serif"/>
          <w:sz w:val="24"/>
          <w:szCs w:val="24"/>
        </w:rPr>
        <w:t>мы за</w:t>
      </w:r>
      <w:r w:rsidRPr="00925972">
        <w:rPr>
          <w:rFonts w:ascii="Liberation Serif" w:hAnsi="Liberation Serif" w:cs="Liberation Serif"/>
          <w:sz w:val="24"/>
          <w:szCs w:val="24"/>
        </w:rPr>
        <w:t xml:space="preserve">купки электроэнергии в соответствии с растущим спросом со стороны потребителей.  </w:t>
      </w:r>
    </w:p>
    <w:p w:rsidR="000A2A5B" w:rsidRPr="00592756" w:rsidRDefault="000A2A5B" w:rsidP="000A2A5B">
      <w:pPr>
        <w:spacing w:before="40" w:after="80" w:line="375" w:lineRule="atLeast"/>
        <w:jc w:val="both"/>
        <w:rPr>
          <w:rFonts w:ascii="Liberation Serif" w:hAnsi="Liberation Serif" w:cs="Liberation Serif"/>
          <w:b/>
          <w:sz w:val="18"/>
          <w:u w:val="single"/>
        </w:rPr>
      </w:pPr>
      <w:r w:rsidRPr="00134DEB">
        <w:rPr>
          <w:rFonts w:ascii="Liberation Serif" w:hAnsi="Liberation Serif" w:cs="Liberation Serif"/>
          <w:b/>
          <w:i/>
          <w:sz w:val="24"/>
          <w:szCs w:val="24"/>
        </w:rPr>
        <w:t>Расходы на услуги по передаче электроэнергии</w:t>
      </w:r>
      <w:r w:rsidRPr="00134DEB">
        <w:rPr>
          <w:rFonts w:ascii="Liberation Serif" w:hAnsi="Liberation Serif" w:cs="Liberation Serif"/>
          <w:sz w:val="24"/>
          <w:szCs w:val="24"/>
        </w:rPr>
        <w:t xml:space="preserve"> возросли на 14,1 млрд рублей (8,7%), </w:t>
      </w:r>
      <w:r>
        <w:rPr>
          <w:rFonts w:ascii="Liberation Serif" w:hAnsi="Liberation Serif" w:cs="Liberation Serif"/>
          <w:sz w:val="24"/>
          <w:szCs w:val="24"/>
        </w:rPr>
        <w:br/>
      </w:r>
      <w:r w:rsidRPr="00134DEB">
        <w:rPr>
          <w:rFonts w:ascii="Liberation Serif" w:hAnsi="Liberation Serif" w:cs="Liberation Serif"/>
          <w:sz w:val="24"/>
          <w:szCs w:val="24"/>
        </w:rPr>
        <w:t>до 176,0 млрд рублей</w:t>
      </w:r>
      <w:r>
        <w:rPr>
          <w:rFonts w:ascii="Liberation Serif" w:hAnsi="Liberation Serif" w:cs="Liberation Serif"/>
          <w:sz w:val="24"/>
          <w:szCs w:val="24"/>
        </w:rPr>
        <w:t>,</w:t>
      </w:r>
      <w:r w:rsidRPr="00134DEB">
        <w:rPr>
          <w:rFonts w:ascii="Liberation Serif" w:hAnsi="Liberation Serif" w:cs="Liberation Serif"/>
          <w:sz w:val="24"/>
          <w:szCs w:val="24"/>
        </w:rPr>
        <w:t xml:space="preserve"> по сравнению с сопоставимым периодом в связи с тарифно-балансовыми решениями и ростом объёмов поставок гарантирующими поставщикам</w:t>
      </w:r>
      <w:r w:rsidRPr="00592756">
        <w:rPr>
          <w:rFonts w:ascii="Liberation Serif" w:hAnsi="Liberation Serif" w:cs="Liberation Serif"/>
          <w:sz w:val="24"/>
          <w:szCs w:val="24"/>
        </w:rPr>
        <w:t xml:space="preserve">и в сбытовом сегменте. </w:t>
      </w:r>
    </w:p>
    <w:p w:rsidR="000A2A5B" w:rsidRPr="00F23ADE" w:rsidRDefault="000A2A5B" w:rsidP="000A2A5B">
      <w:pPr>
        <w:spacing w:before="100" w:beforeAutospacing="1" w:after="375" w:line="375" w:lineRule="atLeast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592756">
        <w:rPr>
          <w:rFonts w:ascii="Liberation Serif" w:eastAsia="Times New Roman" w:hAnsi="Liberation Serif" w:cs="Liberation Serif"/>
          <w:b/>
          <w:i/>
          <w:sz w:val="24"/>
          <w:szCs w:val="24"/>
        </w:rPr>
        <w:t>Расходы на</w:t>
      </w:r>
      <w:r w:rsidRPr="00592756">
        <w:rPr>
          <w:rFonts w:ascii="Liberation Serif" w:eastAsia="Times New Roman" w:hAnsi="Liberation Serif" w:cs="Liberation Serif"/>
          <w:sz w:val="24"/>
          <w:szCs w:val="24"/>
        </w:rPr>
        <w:t xml:space="preserve"> </w:t>
      </w:r>
      <w:r w:rsidRPr="00592756">
        <w:rPr>
          <w:rFonts w:ascii="Liberation Serif" w:eastAsia="Times New Roman" w:hAnsi="Liberation Serif" w:cs="Liberation Serif"/>
          <w:b/>
          <w:i/>
          <w:sz w:val="24"/>
          <w:szCs w:val="24"/>
        </w:rPr>
        <w:t>топливо</w:t>
      </w:r>
      <w:r w:rsidRPr="00592756">
        <w:rPr>
          <w:rFonts w:ascii="Liberation Serif" w:eastAsia="Times New Roman" w:hAnsi="Liberation Serif" w:cs="Liberation Serif"/>
          <w:sz w:val="24"/>
          <w:szCs w:val="24"/>
        </w:rPr>
        <w:t xml:space="preserve"> увеличились на 7,2 млрд рублей (9,2%), до 85,8 млрд рублей, как под воздействием рос</w:t>
      </w:r>
      <w:r w:rsidRPr="00F23ADE">
        <w:rPr>
          <w:rFonts w:ascii="Liberation Serif" w:eastAsia="Times New Roman" w:hAnsi="Liberation Serif" w:cs="Liberation Serif"/>
          <w:sz w:val="24"/>
          <w:szCs w:val="24"/>
        </w:rPr>
        <w:t>та цен на топливо, так и за счёт увеличения выработки электроэнергии.</w:t>
      </w:r>
    </w:p>
    <w:p w:rsidR="000A2A5B" w:rsidRPr="00F23ADE" w:rsidRDefault="000A2A5B" w:rsidP="000A2A5B">
      <w:pPr>
        <w:spacing w:before="100" w:beforeAutospacing="1" w:after="375" w:line="375" w:lineRule="atLeast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F23ADE">
        <w:rPr>
          <w:rFonts w:ascii="Liberation Serif" w:eastAsia="Times New Roman" w:hAnsi="Liberation Serif" w:cs="Liberation Serif"/>
          <w:sz w:val="24"/>
          <w:szCs w:val="24"/>
        </w:rPr>
        <w:t xml:space="preserve">Расходы на </w:t>
      </w:r>
      <w:r w:rsidRPr="00F23ADE">
        <w:rPr>
          <w:rFonts w:ascii="Liberation Serif" w:eastAsia="Times New Roman" w:hAnsi="Liberation Serif" w:cs="Liberation Serif"/>
          <w:b/>
          <w:i/>
          <w:sz w:val="24"/>
          <w:szCs w:val="24"/>
        </w:rPr>
        <w:t>прочие материалы производственного назначения</w:t>
      </w:r>
      <w:r w:rsidRPr="00F23ADE">
        <w:rPr>
          <w:rFonts w:ascii="Liberation Serif" w:eastAsia="Times New Roman" w:hAnsi="Liberation Serif" w:cs="Liberation Serif"/>
          <w:sz w:val="24"/>
          <w:szCs w:val="24"/>
        </w:rPr>
        <w:t xml:space="preserve"> возросли на 14,2 млрд рублей, или в 2,6 раза</w:t>
      </w:r>
      <w:r>
        <w:rPr>
          <w:rFonts w:ascii="Liberation Serif" w:eastAsia="Times New Roman" w:hAnsi="Liberation Serif" w:cs="Liberation Serif"/>
          <w:sz w:val="24"/>
          <w:szCs w:val="24"/>
        </w:rPr>
        <w:t>, до 22,9 млрд рублей</w:t>
      </w:r>
      <w:r w:rsidRPr="00F23ADE">
        <w:rPr>
          <w:rFonts w:ascii="Liberation Serif" w:eastAsia="Times New Roman" w:hAnsi="Liberation Serif" w:cs="Liberation Serif"/>
          <w:sz w:val="24"/>
          <w:szCs w:val="24"/>
        </w:rPr>
        <w:t>. Рост преимущественно связан с деятельностью компаний сегментов «Инжиниринг» и «Энергомашиностроение», в том числе строительством объектов электросетевого к</w:t>
      </w:r>
      <w:r w:rsidRPr="00770457">
        <w:rPr>
          <w:rFonts w:ascii="Liberation Serif" w:eastAsia="Times New Roman" w:hAnsi="Liberation Serif" w:cs="Liberation Serif"/>
          <w:sz w:val="24"/>
          <w:szCs w:val="24"/>
        </w:rPr>
        <w:t>омплекса и расширением периметра Группы в середине 2023 года - н</w:t>
      </w:r>
      <w:r w:rsidRPr="00F23ADE">
        <w:rPr>
          <w:rFonts w:ascii="Liberation Serif" w:eastAsia="Times New Roman" w:hAnsi="Liberation Serif" w:cs="Liberation Serif"/>
          <w:sz w:val="24"/>
          <w:szCs w:val="24"/>
        </w:rPr>
        <w:t>ачале 2024 года.</w:t>
      </w:r>
    </w:p>
    <w:p w:rsidR="000A2A5B" w:rsidRPr="00D22710" w:rsidRDefault="000A2A5B" w:rsidP="000A2A5B">
      <w:pPr>
        <w:spacing w:before="100" w:beforeAutospacing="1" w:after="375" w:line="375" w:lineRule="atLeast"/>
        <w:jc w:val="both"/>
        <w:rPr>
          <w:rFonts w:ascii="Liberation Serif" w:eastAsia="Times New Roman" w:hAnsi="Liberation Serif" w:cs="Liberation Serif"/>
          <w:b/>
          <w:bCs/>
          <w:sz w:val="24"/>
          <w:szCs w:val="24"/>
        </w:rPr>
      </w:pPr>
      <w:r w:rsidRPr="00F23ADE">
        <w:rPr>
          <w:rFonts w:ascii="Liberation Serif" w:eastAsia="Times New Roman" w:hAnsi="Liberation Serif" w:cs="Liberation Serif"/>
          <w:b/>
          <w:bCs/>
          <w:sz w:val="24"/>
          <w:szCs w:val="24"/>
        </w:rPr>
        <w:t>Показатель операционной доходности EBITDA составил 79,7 млрд рублей, снизившись на 8,7 млрд рублей, или 9,8% п</w:t>
      </w:r>
      <w:r w:rsidRPr="00D22710">
        <w:rPr>
          <w:rFonts w:ascii="Liberation Serif" w:eastAsia="Times New Roman" w:hAnsi="Liberation Serif" w:cs="Liberation Serif"/>
          <w:b/>
          <w:bCs/>
          <w:sz w:val="24"/>
          <w:szCs w:val="24"/>
        </w:rPr>
        <w:t xml:space="preserve">о сравнению с результатом сопоставимого периода. </w:t>
      </w:r>
    </w:p>
    <w:p w:rsidR="000A2A5B" w:rsidRPr="00D22710" w:rsidRDefault="000A2A5B" w:rsidP="000A2A5B">
      <w:pPr>
        <w:spacing w:before="100" w:beforeAutospacing="1" w:after="240" w:line="375" w:lineRule="atLeast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D22710">
        <w:rPr>
          <w:rFonts w:ascii="Liberation Serif" w:eastAsia="Times New Roman" w:hAnsi="Liberation Serif" w:cs="Liberation Serif"/>
          <w:b/>
          <w:i/>
          <w:sz w:val="24"/>
          <w:szCs w:val="24"/>
        </w:rPr>
        <w:t>В сегменте «</w:t>
      </w:r>
      <w:proofErr w:type="spellStart"/>
      <w:r w:rsidRPr="00D22710">
        <w:rPr>
          <w:rFonts w:ascii="Liberation Serif" w:eastAsia="Times New Roman" w:hAnsi="Liberation Serif" w:cs="Liberation Serif"/>
          <w:b/>
          <w:i/>
          <w:sz w:val="24"/>
          <w:szCs w:val="24"/>
        </w:rPr>
        <w:t>Электрогенерация</w:t>
      </w:r>
      <w:proofErr w:type="spellEnd"/>
      <w:r w:rsidRPr="00D22710">
        <w:rPr>
          <w:rFonts w:ascii="Liberation Serif" w:eastAsia="Times New Roman" w:hAnsi="Liberation Serif" w:cs="Liberation Serif"/>
          <w:b/>
          <w:i/>
          <w:sz w:val="24"/>
          <w:szCs w:val="24"/>
        </w:rPr>
        <w:t xml:space="preserve"> в Российской Федерации»</w:t>
      </w:r>
      <w:r w:rsidRPr="00D22710">
        <w:rPr>
          <w:rFonts w:ascii="Liberation Serif" w:eastAsia="Times New Roman" w:hAnsi="Liberation Serif" w:cs="Liberation Serif"/>
          <w:sz w:val="24"/>
          <w:szCs w:val="24"/>
        </w:rPr>
        <w:t xml:space="preserve"> показатель EBITDA снизился на 8,0 млрд рублей (19,5%), до 33,1 млрд рублей. Основной причиной стало окончание действия договоров о предоставлении мо</w:t>
      </w:r>
      <w:r w:rsidRPr="00770457">
        <w:rPr>
          <w:rFonts w:ascii="Liberation Serif" w:eastAsia="Times New Roman" w:hAnsi="Liberation Serif" w:cs="Liberation Serif"/>
          <w:sz w:val="24"/>
          <w:szCs w:val="24"/>
        </w:rPr>
        <w:t xml:space="preserve">щности (ДПМ) Южноуральской ГРЭС, </w:t>
      </w:r>
      <w:proofErr w:type="spellStart"/>
      <w:r w:rsidRPr="00770457">
        <w:rPr>
          <w:rFonts w:ascii="Liberation Serif" w:eastAsia="Times New Roman" w:hAnsi="Liberation Serif" w:cs="Liberation Serif"/>
          <w:sz w:val="24"/>
          <w:szCs w:val="24"/>
        </w:rPr>
        <w:t>Черепетской</w:t>
      </w:r>
      <w:proofErr w:type="spellEnd"/>
      <w:r w:rsidRPr="00770457">
        <w:rPr>
          <w:rFonts w:ascii="Liberation Serif" w:eastAsia="Times New Roman" w:hAnsi="Liberation Serif" w:cs="Liberation Serif"/>
          <w:sz w:val="24"/>
          <w:szCs w:val="24"/>
        </w:rPr>
        <w:t xml:space="preserve"> ГРЭС и </w:t>
      </w:r>
      <w:proofErr w:type="spellStart"/>
      <w:r w:rsidRPr="00770457">
        <w:rPr>
          <w:rFonts w:ascii="Liberation Serif" w:eastAsia="Times New Roman" w:hAnsi="Liberation Serif" w:cs="Liberation Serif"/>
          <w:sz w:val="24"/>
          <w:szCs w:val="24"/>
        </w:rPr>
        <w:t>Джубгинской</w:t>
      </w:r>
      <w:proofErr w:type="spellEnd"/>
      <w:r w:rsidRPr="00770457">
        <w:rPr>
          <w:rFonts w:ascii="Liberation Serif" w:eastAsia="Times New Roman" w:hAnsi="Liberation Serif" w:cs="Liberation Serif"/>
          <w:sz w:val="24"/>
          <w:szCs w:val="24"/>
        </w:rPr>
        <w:t xml:space="preserve"> ТЭС, вывод в </w:t>
      </w:r>
      <w:r w:rsidRPr="005B4248">
        <w:rPr>
          <w:rFonts w:ascii="Liberation Serif" w:eastAsia="Times New Roman" w:hAnsi="Liberation Serif" w:cs="Liberation Serif"/>
          <w:sz w:val="24"/>
          <w:szCs w:val="24"/>
        </w:rPr>
        <w:t xml:space="preserve">модернизацию и ремонт ряда энергоблоков на электростанциях, а также рост цен на топливо. </w:t>
      </w:r>
      <w:r>
        <w:rPr>
          <w:rFonts w:ascii="Liberation Serif" w:eastAsia="Times New Roman" w:hAnsi="Liberation Serif" w:cs="Liberation Serif"/>
          <w:sz w:val="24"/>
          <w:szCs w:val="24"/>
        </w:rPr>
        <w:t xml:space="preserve">При этом позитивное влияние оказало увеличение выработки электроэнергии, рост цен на РСВ и начало поставки модернизированной мощности </w:t>
      </w:r>
      <w:proofErr w:type="spellStart"/>
      <w:r>
        <w:rPr>
          <w:rFonts w:ascii="Liberation Serif" w:eastAsia="Times New Roman" w:hAnsi="Liberation Serif" w:cs="Liberation Serif"/>
          <w:sz w:val="24"/>
          <w:szCs w:val="24"/>
        </w:rPr>
        <w:t>Гусиноозёрской</w:t>
      </w:r>
      <w:proofErr w:type="spellEnd"/>
      <w:r>
        <w:rPr>
          <w:rFonts w:ascii="Liberation Serif" w:eastAsia="Times New Roman" w:hAnsi="Liberation Serif" w:cs="Liberation Serif"/>
          <w:sz w:val="24"/>
          <w:szCs w:val="24"/>
        </w:rPr>
        <w:t>, Костромской и</w:t>
      </w:r>
      <w:r w:rsidRPr="00D22710">
        <w:rPr>
          <w:rFonts w:ascii="Liberation Serif" w:eastAsia="Times New Roman" w:hAnsi="Liberation Serif" w:cs="Liberation Serif"/>
          <w:sz w:val="24"/>
          <w:szCs w:val="24"/>
        </w:rPr>
        <w:t xml:space="preserve"> Пермской ГРЭС в рамках </w:t>
      </w:r>
      <w:proofErr w:type="spellStart"/>
      <w:r w:rsidRPr="00D22710">
        <w:rPr>
          <w:rFonts w:ascii="Liberation Serif" w:eastAsia="Times New Roman" w:hAnsi="Liberation Serif" w:cs="Liberation Serif"/>
          <w:sz w:val="24"/>
          <w:szCs w:val="24"/>
        </w:rPr>
        <w:t>КОММод</w:t>
      </w:r>
      <w:proofErr w:type="spellEnd"/>
      <w:r w:rsidRPr="00D22710">
        <w:rPr>
          <w:rFonts w:ascii="Liberation Serif" w:eastAsia="Times New Roman" w:hAnsi="Liberation Serif" w:cs="Liberation Serif"/>
          <w:sz w:val="24"/>
          <w:szCs w:val="24"/>
        </w:rPr>
        <w:t>.</w:t>
      </w:r>
    </w:p>
    <w:p w:rsidR="000A2A5B" w:rsidRPr="00D22710" w:rsidRDefault="000A2A5B" w:rsidP="000A2A5B">
      <w:pPr>
        <w:spacing w:before="240" w:after="360" w:line="375" w:lineRule="atLeast"/>
        <w:contextualSpacing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D22710">
        <w:rPr>
          <w:rFonts w:ascii="Liberation Serif" w:eastAsia="Times New Roman" w:hAnsi="Liberation Serif" w:cs="Liberation Serif"/>
          <w:b/>
          <w:i/>
          <w:sz w:val="24"/>
          <w:szCs w:val="24"/>
        </w:rPr>
        <w:lastRenderedPageBreak/>
        <w:t>В сегменте «</w:t>
      </w:r>
      <w:proofErr w:type="spellStart"/>
      <w:r w:rsidRPr="00D22710">
        <w:rPr>
          <w:rFonts w:ascii="Liberation Serif" w:eastAsia="Times New Roman" w:hAnsi="Liberation Serif" w:cs="Liberation Serif"/>
          <w:b/>
          <w:i/>
          <w:sz w:val="24"/>
          <w:szCs w:val="24"/>
        </w:rPr>
        <w:t>Теплогенерация</w:t>
      </w:r>
      <w:proofErr w:type="spellEnd"/>
      <w:r w:rsidRPr="00D22710">
        <w:rPr>
          <w:rFonts w:ascii="Liberation Serif" w:eastAsia="Times New Roman" w:hAnsi="Liberation Serif" w:cs="Liberation Serif"/>
          <w:b/>
          <w:i/>
          <w:sz w:val="24"/>
          <w:szCs w:val="24"/>
        </w:rPr>
        <w:t xml:space="preserve"> в Российской Федерации»</w:t>
      </w:r>
      <w:r w:rsidRPr="00D22710">
        <w:rPr>
          <w:rFonts w:ascii="Liberation Serif" w:eastAsia="Times New Roman" w:hAnsi="Liberation Serif" w:cs="Liberation Serif"/>
          <w:sz w:val="24"/>
          <w:szCs w:val="24"/>
        </w:rPr>
        <w:t xml:space="preserve"> показатель EBITDA уменьшился на 2,0 млрд рублей, или 12,8%, до 13,6 млрд рублей. Негативное влияние от снижения доходов от реализации мощности из-за выво</w:t>
      </w:r>
      <w:r w:rsidRPr="00D060FE">
        <w:rPr>
          <w:rFonts w:ascii="Liberation Serif" w:eastAsia="Times New Roman" w:hAnsi="Liberation Serif" w:cs="Liberation Serif"/>
          <w:sz w:val="24"/>
          <w:szCs w:val="24"/>
        </w:rPr>
        <w:t>да блоков в модернизацию и ремонт, а</w:t>
      </w:r>
      <w:r w:rsidRPr="005B4248">
        <w:rPr>
          <w:rFonts w:ascii="Liberation Serif" w:eastAsia="Times New Roman" w:hAnsi="Liberation Serif" w:cs="Liberation Serif"/>
          <w:sz w:val="24"/>
          <w:szCs w:val="24"/>
        </w:rPr>
        <w:t xml:space="preserve"> также роста цен на </w:t>
      </w:r>
      <w:r w:rsidRPr="001D5B74">
        <w:rPr>
          <w:rFonts w:ascii="Liberation Serif" w:eastAsia="Times New Roman" w:hAnsi="Liberation Serif" w:cs="Liberation Serif"/>
          <w:sz w:val="24"/>
          <w:szCs w:val="24"/>
        </w:rPr>
        <w:t>топливо, было частично нивелировано ростом цен на РСВ, увеличением полезного отпуска тепловой энерги</w:t>
      </w:r>
      <w:r>
        <w:rPr>
          <w:rFonts w:ascii="Liberation Serif" w:eastAsia="Times New Roman" w:hAnsi="Liberation Serif" w:cs="Liberation Serif"/>
          <w:sz w:val="24"/>
          <w:szCs w:val="24"/>
        </w:rPr>
        <w:t xml:space="preserve">и, </w:t>
      </w:r>
      <w:r w:rsidRPr="00510590">
        <w:rPr>
          <w:rFonts w:ascii="Liberation Serif" w:hAnsi="Liberation Serif" w:cs="Liberation Serif"/>
          <w:sz w:val="24"/>
          <w:szCs w:val="24"/>
        </w:rPr>
        <w:t xml:space="preserve">ростом маржинальной прибыли от реализации мощности в связи с повышением цен </w:t>
      </w:r>
      <w:r>
        <w:rPr>
          <w:rFonts w:ascii="Liberation Serif" w:hAnsi="Liberation Serif" w:cs="Liberation Serif"/>
          <w:sz w:val="24"/>
          <w:szCs w:val="24"/>
        </w:rPr>
        <w:t>конкурентных отборов мощности и свободных двусторонних договоров (</w:t>
      </w:r>
      <w:r w:rsidRPr="00510590">
        <w:rPr>
          <w:rFonts w:ascii="Liberation Serif" w:hAnsi="Liberation Serif" w:cs="Liberation Serif"/>
          <w:sz w:val="24"/>
          <w:szCs w:val="24"/>
        </w:rPr>
        <w:t>КОМ/СДД</w:t>
      </w:r>
      <w:r>
        <w:rPr>
          <w:rFonts w:ascii="Liberation Serif" w:hAnsi="Liberation Serif" w:cs="Liberation Serif"/>
          <w:sz w:val="24"/>
          <w:szCs w:val="24"/>
        </w:rPr>
        <w:t>), а также</w:t>
      </w:r>
      <w:r w:rsidRPr="001D5B74">
        <w:rPr>
          <w:rFonts w:ascii="Liberation Serif" w:eastAsia="Times New Roman" w:hAnsi="Liberation Serif" w:cs="Liberation Serif"/>
          <w:sz w:val="24"/>
          <w:szCs w:val="24"/>
        </w:rPr>
        <w:t xml:space="preserve"> </w:t>
      </w:r>
      <w:r w:rsidRPr="00510590">
        <w:rPr>
          <w:rFonts w:ascii="Liberation Serif" w:hAnsi="Liberation Serif" w:cs="Liberation Serif"/>
          <w:sz w:val="24"/>
          <w:szCs w:val="24"/>
        </w:rPr>
        <w:t>тариф</w:t>
      </w:r>
      <w:r>
        <w:rPr>
          <w:rFonts w:ascii="Liberation Serif" w:hAnsi="Liberation Serif" w:cs="Liberation Serif"/>
          <w:sz w:val="24"/>
          <w:szCs w:val="24"/>
        </w:rPr>
        <w:t>а</w:t>
      </w:r>
      <w:r w:rsidRPr="00510590">
        <w:rPr>
          <w:rFonts w:ascii="Liberation Serif" w:hAnsi="Liberation Serif" w:cs="Liberation Serif"/>
          <w:sz w:val="24"/>
          <w:szCs w:val="24"/>
        </w:rPr>
        <w:t xml:space="preserve"> в рамках </w:t>
      </w:r>
      <w:r>
        <w:rPr>
          <w:rFonts w:ascii="Liberation Serif" w:hAnsi="Liberation Serif" w:cs="Liberation Serif"/>
          <w:sz w:val="24"/>
          <w:szCs w:val="24"/>
        </w:rPr>
        <w:t xml:space="preserve">программы модернизации </w:t>
      </w:r>
      <w:r w:rsidRPr="00510590">
        <w:rPr>
          <w:rFonts w:ascii="Liberation Serif" w:hAnsi="Liberation Serif" w:cs="Liberation Serif"/>
          <w:sz w:val="24"/>
          <w:szCs w:val="24"/>
        </w:rPr>
        <w:t>блок</w:t>
      </w:r>
      <w:r>
        <w:rPr>
          <w:rFonts w:ascii="Liberation Serif" w:hAnsi="Liberation Serif" w:cs="Liberation Serif"/>
          <w:sz w:val="24"/>
          <w:szCs w:val="24"/>
        </w:rPr>
        <w:t>а</w:t>
      </w:r>
      <w:r w:rsidRPr="00510590">
        <w:rPr>
          <w:rFonts w:ascii="Liberation Serif" w:hAnsi="Liberation Serif" w:cs="Liberation Serif"/>
          <w:sz w:val="24"/>
          <w:szCs w:val="24"/>
        </w:rPr>
        <w:t xml:space="preserve"> №3 </w:t>
      </w:r>
      <w:proofErr w:type="spellStart"/>
      <w:r w:rsidRPr="00510590">
        <w:rPr>
          <w:rFonts w:ascii="Liberation Serif" w:hAnsi="Liberation Serif" w:cs="Liberation Serif"/>
          <w:sz w:val="24"/>
          <w:szCs w:val="24"/>
        </w:rPr>
        <w:t>Кармановской</w:t>
      </w:r>
      <w:proofErr w:type="spellEnd"/>
      <w:r w:rsidRPr="00510590">
        <w:rPr>
          <w:rFonts w:ascii="Liberation Serif" w:hAnsi="Liberation Serif" w:cs="Liberation Serif"/>
          <w:sz w:val="24"/>
          <w:szCs w:val="24"/>
        </w:rPr>
        <w:t xml:space="preserve"> ГРЭС</w:t>
      </w:r>
      <w:r>
        <w:rPr>
          <w:rFonts w:ascii="Liberation Serif" w:eastAsia="Times New Roman" w:hAnsi="Liberation Serif" w:cs="Liberation Serif"/>
          <w:sz w:val="24"/>
          <w:szCs w:val="24"/>
        </w:rPr>
        <w:t xml:space="preserve">. </w:t>
      </w:r>
    </w:p>
    <w:p w:rsidR="000A2A5B" w:rsidRPr="003B0F1C" w:rsidRDefault="000A2A5B" w:rsidP="000A2A5B">
      <w:pPr>
        <w:spacing w:before="480" w:after="375" w:line="375" w:lineRule="atLeast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D22710">
        <w:rPr>
          <w:rFonts w:ascii="Liberation Serif" w:eastAsia="Times New Roman" w:hAnsi="Liberation Serif" w:cs="Liberation Serif"/>
          <w:sz w:val="24"/>
          <w:szCs w:val="24"/>
        </w:rPr>
        <w:t xml:space="preserve">Показатель EBITDA </w:t>
      </w:r>
      <w:r w:rsidR="00975D05" w:rsidRPr="00D22710">
        <w:rPr>
          <w:rFonts w:ascii="Liberation Serif" w:eastAsia="Times New Roman" w:hAnsi="Liberation Serif" w:cs="Liberation Serif"/>
          <w:b/>
          <w:i/>
          <w:sz w:val="24"/>
          <w:szCs w:val="24"/>
        </w:rPr>
        <w:t>сегмента</w:t>
      </w:r>
      <w:r w:rsidRPr="00D22710">
        <w:rPr>
          <w:rFonts w:ascii="Liberation Serif" w:eastAsia="Times New Roman" w:hAnsi="Liberation Serif" w:cs="Liberation Serif"/>
          <w:b/>
          <w:i/>
          <w:sz w:val="24"/>
          <w:szCs w:val="24"/>
        </w:rPr>
        <w:t xml:space="preserve"> «Сбыт в Российской Федерации»</w:t>
      </w:r>
      <w:r w:rsidRPr="00D22710">
        <w:rPr>
          <w:rFonts w:ascii="Liberation Serif" w:eastAsia="Times New Roman" w:hAnsi="Liberation Serif" w:cs="Liberation Serif"/>
          <w:sz w:val="24"/>
          <w:szCs w:val="24"/>
        </w:rPr>
        <w:t xml:space="preserve"> снизился на 1,2 млрд рублей (4,7%), до 24,0 млрд рублей, </w:t>
      </w:r>
      <w:r>
        <w:rPr>
          <w:rFonts w:ascii="Liberation Serif" w:eastAsia="Times New Roman" w:hAnsi="Liberation Serif" w:cs="Liberation Serif"/>
          <w:sz w:val="24"/>
          <w:szCs w:val="24"/>
        </w:rPr>
        <w:t>за счёт</w:t>
      </w:r>
      <w:r w:rsidRPr="00D22710">
        <w:rPr>
          <w:rFonts w:ascii="Liberation Serif" w:eastAsia="Times New Roman" w:hAnsi="Liberation Serif" w:cs="Liberation Serif"/>
          <w:sz w:val="24"/>
          <w:szCs w:val="24"/>
        </w:rPr>
        <w:t xml:space="preserve"> </w:t>
      </w:r>
      <w:r>
        <w:rPr>
          <w:rFonts w:ascii="Liberation Serif" w:eastAsia="Times New Roman" w:hAnsi="Liberation Serif" w:cs="Liberation Serif"/>
          <w:sz w:val="24"/>
          <w:szCs w:val="24"/>
        </w:rPr>
        <w:t>действующих</w:t>
      </w:r>
      <w:r w:rsidRPr="00D22710">
        <w:rPr>
          <w:rFonts w:ascii="Liberation Serif" w:eastAsia="Times New Roman" w:hAnsi="Liberation Serif" w:cs="Liberation Serif"/>
          <w:sz w:val="24"/>
          <w:szCs w:val="24"/>
        </w:rPr>
        <w:t xml:space="preserve"> тарифно-балансовых решений </w:t>
      </w:r>
      <w:r>
        <w:rPr>
          <w:rFonts w:ascii="Liberation Serif" w:eastAsia="Times New Roman" w:hAnsi="Liberation Serif" w:cs="Liberation Serif"/>
          <w:sz w:val="24"/>
          <w:szCs w:val="24"/>
        </w:rPr>
        <w:t>в условиях роста</w:t>
      </w:r>
      <w:r w:rsidRPr="003B0F1C">
        <w:rPr>
          <w:rFonts w:ascii="Liberation Serif" w:eastAsia="Times New Roman" w:hAnsi="Liberation Serif" w:cs="Liberation Serif"/>
          <w:sz w:val="24"/>
          <w:szCs w:val="24"/>
        </w:rPr>
        <w:t xml:space="preserve"> условно-постоянных расходов. </w:t>
      </w:r>
    </w:p>
    <w:p w:rsidR="000A2A5B" w:rsidRPr="0043402E" w:rsidRDefault="000A2A5B" w:rsidP="000A2A5B">
      <w:pPr>
        <w:spacing w:before="100" w:beforeAutospacing="1" w:after="375" w:line="375" w:lineRule="atLeast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43402E">
        <w:rPr>
          <w:rFonts w:ascii="Liberation Serif" w:eastAsia="Times New Roman" w:hAnsi="Liberation Serif" w:cs="Liberation Serif"/>
          <w:sz w:val="24"/>
          <w:szCs w:val="24"/>
        </w:rPr>
        <w:t>Показатель EBITDA</w:t>
      </w:r>
      <w:r w:rsidRPr="0043402E">
        <w:rPr>
          <w:rFonts w:ascii="Liberation Serif" w:eastAsia="Times New Roman" w:hAnsi="Liberation Serif" w:cs="Liberation Serif"/>
          <w:b/>
          <w:i/>
          <w:sz w:val="24"/>
          <w:szCs w:val="24"/>
        </w:rPr>
        <w:t xml:space="preserve"> сегмента «Зарубежные активы»</w:t>
      </w:r>
      <w:r w:rsidRPr="0043402E">
        <w:rPr>
          <w:rFonts w:ascii="Liberation Serif" w:eastAsia="Times New Roman" w:hAnsi="Liberation Serif" w:cs="Liberation Serif"/>
          <w:sz w:val="24"/>
          <w:szCs w:val="24"/>
        </w:rPr>
        <w:t xml:space="preserve"> по сравнению с сопоставимым периодом прошлого года уменьшился на 1,2 млрд рублей (24,1%) и составил 3,9 млрд рублей. Основной причиной уменьшения показателя стало снижение отпускных тари</w:t>
      </w:r>
      <w:r w:rsidRPr="00393FF6">
        <w:rPr>
          <w:rFonts w:ascii="Liberation Serif" w:eastAsia="Times New Roman" w:hAnsi="Liberation Serif" w:cs="Liberation Serif"/>
          <w:sz w:val="24"/>
          <w:szCs w:val="24"/>
        </w:rPr>
        <w:t xml:space="preserve">фов на фоне совокупного роста полезного отпуска </w:t>
      </w:r>
      <w:r>
        <w:rPr>
          <w:rFonts w:ascii="Liberation Serif" w:eastAsia="Times New Roman" w:hAnsi="Liberation Serif" w:cs="Liberation Serif"/>
          <w:sz w:val="24"/>
          <w:szCs w:val="24"/>
        </w:rPr>
        <w:t xml:space="preserve">и потребления электроэнергии </w:t>
      </w:r>
      <w:r w:rsidRPr="00393FF6">
        <w:rPr>
          <w:rFonts w:ascii="Liberation Serif" w:eastAsia="Times New Roman" w:hAnsi="Liberation Serif" w:cs="Liberation Serif"/>
          <w:sz w:val="24"/>
          <w:szCs w:val="24"/>
        </w:rPr>
        <w:t>в странах присутстви</w:t>
      </w:r>
      <w:r w:rsidRPr="0043402E">
        <w:rPr>
          <w:rFonts w:ascii="Liberation Serif" w:eastAsia="Times New Roman" w:hAnsi="Liberation Serif" w:cs="Liberation Serif"/>
          <w:sz w:val="24"/>
          <w:szCs w:val="24"/>
        </w:rPr>
        <w:t xml:space="preserve">я Группы. </w:t>
      </w:r>
    </w:p>
    <w:p w:rsidR="000A2A5B" w:rsidRPr="0043402E" w:rsidRDefault="000A2A5B" w:rsidP="000A2A5B">
      <w:pPr>
        <w:spacing w:before="100" w:beforeAutospacing="1" w:after="375" w:line="375" w:lineRule="atLeast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43402E">
        <w:rPr>
          <w:rFonts w:ascii="Liberation Serif" w:eastAsia="Times New Roman" w:hAnsi="Liberation Serif" w:cs="Liberation Serif"/>
          <w:sz w:val="24"/>
          <w:szCs w:val="24"/>
        </w:rPr>
        <w:t>Показатель EBITDA</w:t>
      </w:r>
      <w:r w:rsidRPr="0043402E">
        <w:rPr>
          <w:rFonts w:ascii="Liberation Serif" w:eastAsia="Times New Roman" w:hAnsi="Liberation Serif" w:cs="Liberation Serif"/>
          <w:b/>
          <w:i/>
          <w:sz w:val="24"/>
          <w:szCs w:val="24"/>
        </w:rPr>
        <w:t xml:space="preserve"> сегмента «Инжиниринг» </w:t>
      </w:r>
      <w:r w:rsidRPr="0043402E">
        <w:rPr>
          <w:rFonts w:ascii="Liberation Serif" w:eastAsia="Times New Roman" w:hAnsi="Liberation Serif" w:cs="Liberation Serif"/>
          <w:sz w:val="24"/>
          <w:szCs w:val="24"/>
        </w:rPr>
        <w:t>по сравнению с итогами сопоставимого периода увеличился на 3,4 млрд рублей (в 2,6 раза), до 5,6 млрд рублей. Компании сегмента осуществляют новые инфраструктурные проекты для электросетевого комплекса Российской Федерации.</w:t>
      </w:r>
    </w:p>
    <w:p w:rsidR="000A2A5B" w:rsidRPr="00770457" w:rsidRDefault="000A2A5B" w:rsidP="000A2A5B">
      <w:pPr>
        <w:spacing w:before="100" w:beforeAutospacing="1" w:after="375" w:line="375" w:lineRule="atLeast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43402E">
        <w:rPr>
          <w:rFonts w:ascii="Liberation Serif" w:eastAsia="Times New Roman" w:hAnsi="Liberation Serif" w:cs="Liberation Serif"/>
          <w:sz w:val="24"/>
          <w:szCs w:val="24"/>
        </w:rPr>
        <w:t xml:space="preserve">Вклад в показатель </w:t>
      </w:r>
      <w:r w:rsidRPr="0043402E">
        <w:rPr>
          <w:rFonts w:ascii="Liberation Serif" w:eastAsia="Times New Roman" w:hAnsi="Liberation Serif" w:cs="Liberation Serif"/>
          <w:sz w:val="24"/>
          <w:szCs w:val="24"/>
          <w:lang w:val="en-US"/>
        </w:rPr>
        <w:t>EBITDA</w:t>
      </w:r>
      <w:r w:rsidRPr="0043402E">
        <w:rPr>
          <w:rFonts w:ascii="Liberation Serif" w:eastAsia="Times New Roman" w:hAnsi="Liberation Serif" w:cs="Liberation Serif"/>
          <w:sz w:val="24"/>
          <w:szCs w:val="24"/>
        </w:rPr>
        <w:t xml:space="preserve"> со стороны </w:t>
      </w:r>
      <w:r w:rsidRPr="0043402E">
        <w:rPr>
          <w:rFonts w:ascii="Liberation Serif" w:eastAsia="Times New Roman" w:hAnsi="Liberation Serif" w:cs="Liberation Serif"/>
          <w:b/>
          <w:i/>
          <w:sz w:val="24"/>
          <w:szCs w:val="24"/>
        </w:rPr>
        <w:t>сегмента «Энергомашиностроение»</w:t>
      </w:r>
      <w:r w:rsidRPr="0043402E">
        <w:rPr>
          <w:rFonts w:ascii="Liberation Serif" w:eastAsia="Times New Roman" w:hAnsi="Liberation Serif" w:cs="Liberation Serif"/>
          <w:sz w:val="24"/>
          <w:szCs w:val="24"/>
        </w:rPr>
        <w:t xml:space="preserve"> за </w:t>
      </w:r>
      <w:r w:rsidRPr="0043402E">
        <w:rPr>
          <w:rFonts w:ascii="Liberation Serif" w:eastAsia="Times New Roman" w:hAnsi="Liberation Serif" w:cs="Liberation Serif"/>
          <w:sz w:val="24"/>
          <w:szCs w:val="24"/>
          <w:lang w:val="en-US"/>
        </w:rPr>
        <w:t>I</w:t>
      </w:r>
      <w:r w:rsidRPr="0043402E">
        <w:rPr>
          <w:rFonts w:ascii="Liberation Serif" w:eastAsia="Times New Roman" w:hAnsi="Liberation Serif" w:cs="Liberation Serif"/>
          <w:sz w:val="24"/>
          <w:szCs w:val="24"/>
        </w:rPr>
        <w:t xml:space="preserve"> полугодие 2024 года составил 2,4 млрд рублей и сформировался в основном за счёт компаний, выпускающих турбины, высоковольтные трансформаторы и запасные части, в том числе благодаря расширению периметра Группы в середине</w:t>
      </w:r>
      <w:r w:rsidRPr="00770457">
        <w:rPr>
          <w:rFonts w:ascii="Liberation Serif" w:eastAsia="Times New Roman" w:hAnsi="Liberation Serif" w:cs="Liberation Serif"/>
          <w:sz w:val="24"/>
          <w:szCs w:val="24"/>
        </w:rPr>
        <w:t xml:space="preserve"> 2023 года - начале 2024 года.</w:t>
      </w:r>
    </w:p>
    <w:p w:rsidR="000A2A5B" w:rsidRPr="0043402E" w:rsidRDefault="000A2A5B" w:rsidP="000A2A5B">
      <w:pPr>
        <w:spacing w:before="100" w:beforeAutospacing="1" w:after="375" w:line="375" w:lineRule="atLeast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43402E">
        <w:rPr>
          <w:rFonts w:ascii="Liberation Serif" w:eastAsia="Times New Roman" w:hAnsi="Liberation Serif" w:cs="Liberation Serif"/>
          <w:b/>
          <w:i/>
          <w:sz w:val="24"/>
          <w:szCs w:val="24"/>
        </w:rPr>
        <w:t xml:space="preserve">Показатель </w:t>
      </w:r>
      <w:r w:rsidRPr="0043402E">
        <w:rPr>
          <w:rFonts w:ascii="Liberation Serif" w:eastAsia="Times New Roman" w:hAnsi="Liberation Serif" w:cs="Liberation Serif"/>
          <w:b/>
          <w:i/>
          <w:sz w:val="24"/>
          <w:szCs w:val="24"/>
          <w:lang w:val="en-US"/>
        </w:rPr>
        <w:t>EBITDA</w:t>
      </w:r>
      <w:r w:rsidRPr="0043402E">
        <w:rPr>
          <w:rFonts w:ascii="Liberation Serif" w:eastAsia="Times New Roman" w:hAnsi="Liberation Serif" w:cs="Liberation Serif"/>
          <w:b/>
          <w:i/>
          <w:sz w:val="24"/>
          <w:szCs w:val="24"/>
        </w:rPr>
        <w:t xml:space="preserve"> сегмента «Трейдинг»</w:t>
      </w:r>
      <w:r w:rsidRPr="0043402E">
        <w:rPr>
          <w:rFonts w:ascii="Liberation Serif" w:eastAsia="Times New Roman" w:hAnsi="Liberation Serif" w:cs="Liberation Serif"/>
          <w:sz w:val="24"/>
          <w:szCs w:val="24"/>
        </w:rPr>
        <w:t xml:space="preserve"> за </w:t>
      </w:r>
      <w:r w:rsidRPr="0043402E">
        <w:rPr>
          <w:rFonts w:ascii="Liberation Serif" w:eastAsia="Times New Roman" w:hAnsi="Liberation Serif" w:cs="Liberation Serif"/>
          <w:sz w:val="24"/>
          <w:szCs w:val="24"/>
          <w:lang w:val="en-US"/>
        </w:rPr>
        <w:t>I</w:t>
      </w:r>
      <w:r w:rsidRPr="0043402E">
        <w:rPr>
          <w:rFonts w:ascii="Liberation Serif" w:eastAsia="Times New Roman" w:hAnsi="Liberation Serif" w:cs="Liberation Serif"/>
          <w:sz w:val="24"/>
          <w:szCs w:val="24"/>
        </w:rPr>
        <w:t xml:space="preserve"> полугодие 2024 года составил 1,8 млрд рублей – на 0,1 млрд рублей выше сопоставимого периода. Улучшение показателей произошло за счёт поставок в Казахстан, а также Монголию и Киргизию. </w:t>
      </w:r>
    </w:p>
    <w:p w:rsidR="000A2A5B" w:rsidRPr="0043402E" w:rsidRDefault="000A2A5B" w:rsidP="000A2A5B">
      <w:pPr>
        <w:spacing w:before="100" w:beforeAutospacing="1" w:after="375" w:line="375" w:lineRule="atLeast"/>
        <w:jc w:val="both"/>
        <w:rPr>
          <w:rFonts w:ascii="Liberation Serif" w:eastAsia="Times New Roman" w:hAnsi="Liberation Serif" w:cs="Liberation Serif"/>
          <w:b/>
          <w:bCs/>
          <w:sz w:val="24"/>
          <w:szCs w:val="24"/>
        </w:rPr>
      </w:pPr>
      <w:r w:rsidRPr="0043402E">
        <w:rPr>
          <w:rFonts w:ascii="Liberation Serif" w:eastAsia="Times New Roman" w:hAnsi="Liberation Serif" w:cs="Liberation Serif"/>
          <w:b/>
          <w:bCs/>
          <w:sz w:val="24"/>
          <w:szCs w:val="24"/>
        </w:rPr>
        <w:t xml:space="preserve">Чистая прибыль </w:t>
      </w:r>
      <w:r w:rsidRPr="0043402E">
        <w:rPr>
          <w:rFonts w:ascii="Liberation Serif" w:eastAsia="Times New Roman" w:hAnsi="Liberation Serif" w:cs="Liberation Serif"/>
          <w:sz w:val="24"/>
          <w:szCs w:val="24"/>
        </w:rPr>
        <w:t xml:space="preserve">за </w:t>
      </w:r>
      <w:r w:rsidRPr="0043402E">
        <w:rPr>
          <w:rFonts w:ascii="Liberation Serif" w:eastAsia="Times New Roman" w:hAnsi="Liberation Serif" w:cs="Liberation Serif"/>
          <w:sz w:val="24"/>
          <w:szCs w:val="24"/>
          <w:lang w:val="en-US"/>
        </w:rPr>
        <w:t>I</w:t>
      </w:r>
      <w:r w:rsidRPr="0043402E">
        <w:rPr>
          <w:rFonts w:ascii="Liberation Serif" w:eastAsia="Times New Roman" w:hAnsi="Liberation Serif" w:cs="Liberation Serif"/>
          <w:sz w:val="24"/>
          <w:szCs w:val="24"/>
        </w:rPr>
        <w:t xml:space="preserve"> полугодие 2024 года </w:t>
      </w:r>
      <w:r w:rsidRPr="0043402E">
        <w:rPr>
          <w:rFonts w:ascii="Liberation Serif" w:eastAsia="Times New Roman" w:hAnsi="Liberation Serif" w:cs="Liberation Serif"/>
          <w:b/>
          <w:bCs/>
          <w:sz w:val="24"/>
          <w:szCs w:val="24"/>
        </w:rPr>
        <w:t xml:space="preserve">составила 79,5 млрд рублей, увеличившись на 11,7 млрд рублей (17,3%) по сравнению </w:t>
      </w:r>
      <w:r w:rsidRPr="0043402E">
        <w:rPr>
          <w:rFonts w:ascii="Liberation Serif" w:eastAsia="Times New Roman" w:hAnsi="Liberation Serif" w:cs="Liberation Serif"/>
          <w:b/>
          <w:bCs/>
          <w:sz w:val="24"/>
          <w:szCs w:val="24"/>
          <w:lang w:val="en-US"/>
        </w:rPr>
        <w:t>c</w:t>
      </w:r>
      <w:r w:rsidRPr="0043402E">
        <w:rPr>
          <w:rFonts w:ascii="Liberation Serif" w:eastAsia="Times New Roman" w:hAnsi="Liberation Serif" w:cs="Liberation Serif"/>
          <w:b/>
          <w:bCs/>
          <w:sz w:val="24"/>
          <w:szCs w:val="24"/>
        </w:rPr>
        <w:t xml:space="preserve"> результатами сопоставимого периода.</w:t>
      </w:r>
    </w:p>
    <w:p w:rsidR="00E15CB4" w:rsidRDefault="005A6BD7">
      <w:pPr>
        <w:spacing w:before="100" w:beforeAutospacing="1" w:after="375" w:line="375" w:lineRule="atLeast"/>
        <w:jc w:val="center"/>
        <w:rPr>
          <w:rFonts w:ascii="Tahoma" w:hAnsi="Tahoma" w:cs="Tahoma"/>
          <w:sz w:val="17"/>
          <w:szCs w:val="17"/>
        </w:rPr>
      </w:pPr>
      <w:r>
        <w:rPr>
          <w:rFonts w:ascii="Tahoma" w:hAnsi="Tahoma" w:cs="Tahoma"/>
          <w:sz w:val="17"/>
          <w:szCs w:val="17"/>
        </w:rPr>
        <w:t>#</w:t>
      </w:r>
      <w:r>
        <w:rPr>
          <w:rFonts w:ascii="Tahoma" w:hAnsi="Tahoma" w:cs="Tahoma"/>
          <w:sz w:val="17"/>
          <w:szCs w:val="17"/>
        </w:rPr>
        <w:tab/>
        <w:t>#</w:t>
      </w:r>
      <w:r>
        <w:rPr>
          <w:rFonts w:ascii="Tahoma" w:hAnsi="Tahoma" w:cs="Tahoma"/>
          <w:sz w:val="17"/>
          <w:szCs w:val="17"/>
        </w:rPr>
        <w:tab/>
        <w:t>#</w:t>
      </w:r>
    </w:p>
    <w:p w:rsidR="00E15CB4" w:rsidRDefault="005A6BD7">
      <w:pPr>
        <w:spacing w:before="100" w:beforeAutospacing="1" w:after="375" w:line="375" w:lineRule="atLeast"/>
        <w:jc w:val="both"/>
        <w:rPr>
          <w:rFonts w:ascii="Tahoma" w:hAnsi="Tahoma" w:cs="Tahoma"/>
          <w:sz w:val="17"/>
          <w:szCs w:val="17"/>
        </w:rPr>
      </w:pPr>
      <w:r>
        <w:rPr>
          <w:rFonts w:ascii="Tahoma" w:hAnsi="Tahoma" w:cs="Tahoma"/>
          <w:b/>
          <w:sz w:val="17"/>
          <w:szCs w:val="17"/>
        </w:rPr>
        <w:t>Группа «Интер РАО»</w:t>
      </w:r>
      <w:r>
        <w:rPr>
          <w:rFonts w:ascii="Tahoma" w:hAnsi="Tahoma" w:cs="Tahoma"/>
          <w:sz w:val="17"/>
          <w:szCs w:val="17"/>
        </w:rPr>
        <w:t xml:space="preserve"> является одним из крупнейших российских многопрофильных энергохолдингов, в состав которого входят предприятия следующих сегментов: генерация электрической и тепловой энергии, </w:t>
      </w:r>
      <w:proofErr w:type="spellStart"/>
      <w:r>
        <w:rPr>
          <w:rFonts w:ascii="Tahoma" w:hAnsi="Tahoma" w:cs="Tahoma"/>
          <w:sz w:val="17"/>
          <w:szCs w:val="17"/>
        </w:rPr>
        <w:t>энерготрейдинг</w:t>
      </w:r>
      <w:proofErr w:type="spellEnd"/>
      <w:r>
        <w:rPr>
          <w:rFonts w:ascii="Tahoma" w:hAnsi="Tahoma" w:cs="Tahoma"/>
          <w:sz w:val="17"/>
          <w:szCs w:val="17"/>
        </w:rPr>
        <w:t>, розничная торговля электроэнергией, энергетическое машиностроение, инжиниринг</w:t>
      </w:r>
      <w:r w:rsidR="001435CB">
        <w:rPr>
          <w:rFonts w:ascii="Tahoma" w:hAnsi="Tahoma" w:cs="Tahoma"/>
          <w:sz w:val="17"/>
          <w:szCs w:val="17"/>
        </w:rPr>
        <w:t xml:space="preserve"> и энергетическое строительство</w:t>
      </w:r>
      <w:r>
        <w:rPr>
          <w:rFonts w:ascii="Tahoma" w:hAnsi="Tahoma" w:cs="Tahoma"/>
          <w:sz w:val="17"/>
          <w:szCs w:val="17"/>
        </w:rPr>
        <w:t>, отраслевые информационные технологии и др.</w:t>
      </w:r>
      <w:bookmarkEnd w:id="0"/>
    </w:p>
    <w:sectPr w:rsidR="00E15CB4">
      <w:footerReference w:type="default" r:id="rId18"/>
      <w:footerReference w:type="first" r:id="rId19"/>
      <w:pgSz w:w="11906" w:h="16838"/>
      <w:pgMar w:top="567" w:right="545" w:bottom="1843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1BD" w:rsidRDefault="006521BD">
      <w:r>
        <w:separator/>
      </w:r>
    </w:p>
  </w:endnote>
  <w:endnote w:type="continuationSeparator" w:id="0">
    <w:p w:rsidR="006521BD" w:rsidRDefault="00652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5CB4" w:rsidRDefault="00E15CB4"/>
  <w:tbl>
    <w:tblPr>
      <w:tblW w:w="0" w:type="auto"/>
      <w:tblLook w:val="01E0" w:firstRow="1" w:lastRow="1" w:firstColumn="1" w:lastColumn="1" w:noHBand="0" w:noVBand="0"/>
    </w:tblPr>
    <w:tblGrid>
      <w:gridCol w:w="9570"/>
    </w:tblGrid>
    <w:tr w:rsidR="00E15CB4">
      <w:trPr>
        <w:trHeight w:val="373"/>
      </w:trPr>
      <w:tc>
        <w:tcPr>
          <w:tcW w:w="9570" w:type="dxa"/>
          <w:tcBorders>
            <w:top w:val="single" w:sz="4" w:space="0" w:color="auto"/>
          </w:tcBorders>
        </w:tcPr>
        <w:p w:rsidR="00E15CB4" w:rsidRDefault="005A6BD7">
          <w:pPr>
            <w:spacing w:before="20" w:after="20"/>
            <w:jc w:val="center"/>
            <w:rPr>
              <w:rFonts w:ascii="Verdana" w:hAnsi="Verdana" w:cs="Arial"/>
              <w:b/>
              <w:sz w:val="16"/>
              <w:szCs w:val="16"/>
            </w:rPr>
          </w:pPr>
          <w:r>
            <w:rPr>
              <w:rFonts w:ascii="Verdana" w:hAnsi="Verdana" w:cs="Arial"/>
              <w:b/>
              <w:sz w:val="16"/>
              <w:szCs w:val="16"/>
            </w:rPr>
            <w:t>Центр информационной политики ПАО «Интер РАО»</w:t>
          </w:r>
        </w:p>
        <w:p w:rsidR="00E15CB4" w:rsidRDefault="006521BD">
          <w:pPr>
            <w:spacing w:before="20" w:after="20"/>
            <w:jc w:val="center"/>
            <w:rPr>
              <w:rFonts w:ascii="Century Gothic" w:hAnsi="Century Gothic" w:cs="Arial"/>
              <w:b/>
              <w:sz w:val="16"/>
              <w:szCs w:val="16"/>
            </w:rPr>
          </w:pPr>
          <w:hyperlink r:id="rId1" w:tooltip="mailto:press@interrao.ru" w:history="1">
            <w:r w:rsidR="000A2A5B">
              <w:rPr>
                <w:rStyle w:val="afa"/>
                <w:rFonts w:ascii="Tahoma" w:hAnsi="Tahoma" w:cs="Tahoma"/>
                <w:b/>
                <w:sz w:val="16"/>
                <w:szCs w:val="16"/>
                <w:lang w:val="en-US"/>
              </w:rPr>
              <w:t>press@interrao.ru</w:t>
            </w:r>
          </w:hyperlink>
        </w:p>
      </w:tc>
    </w:tr>
  </w:tbl>
  <w:p w:rsidR="00E15CB4" w:rsidRDefault="00E15CB4">
    <w:pPr>
      <w:pStyle w:val="ae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5CB4" w:rsidRDefault="00E15CB4"/>
  <w:tbl>
    <w:tblPr>
      <w:tblW w:w="0" w:type="auto"/>
      <w:tblLook w:val="01E0" w:firstRow="1" w:lastRow="1" w:firstColumn="1" w:lastColumn="1" w:noHBand="0" w:noVBand="0"/>
    </w:tblPr>
    <w:tblGrid>
      <w:gridCol w:w="9570"/>
    </w:tblGrid>
    <w:tr w:rsidR="00E15CB4">
      <w:trPr>
        <w:trHeight w:val="373"/>
      </w:trPr>
      <w:tc>
        <w:tcPr>
          <w:tcW w:w="9570" w:type="dxa"/>
          <w:tcBorders>
            <w:top w:val="single" w:sz="4" w:space="0" w:color="auto"/>
          </w:tcBorders>
        </w:tcPr>
        <w:p w:rsidR="00E15CB4" w:rsidRDefault="005A6BD7">
          <w:pPr>
            <w:spacing w:before="20" w:after="20"/>
            <w:jc w:val="center"/>
            <w:rPr>
              <w:rFonts w:ascii="Tahoma" w:hAnsi="Tahoma" w:cs="Tahoma"/>
              <w:b/>
              <w:sz w:val="16"/>
              <w:szCs w:val="16"/>
            </w:rPr>
          </w:pPr>
          <w:r>
            <w:rPr>
              <w:rFonts w:ascii="Tahoma" w:hAnsi="Tahoma" w:cs="Tahoma"/>
              <w:b/>
              <w:sz w:val="16"/>
              <w:szCs w:val="16"/>
            </w:rPr>
            <w:t>Центр информационной политики ПАО «Интер РАО»</w:t>
          </w:r>
        </w:p>
        <w:p w:rsidR="00E15CB4" w:rsidRDefault="006521BD">
          <w:pPr>
            <w:spacing w:before="20" w:after="20"/>
            <w:jc w:val="center"/>
            <w:rPr>
              <w:rFonts w:ascii="Tahoma" w:hAnsi="Tahoma" w:cs="Tahoma"/>
              <w:b/>
              <w:sz w:val="16"/>
              <w:szCs w:val="16"/>
              <w:lang w:val="en-US"/>
            </w:rPr>
          </w:pPr>
          <w:hyperlink r:id="rId1" w:tooltip="mailto:press@interrao.ru" w:history="1">
            <w:r w:rsidR="005A6BD7">
              <w:rPr>
                <w:rStyle w:val="afa"/>
                <w:rFonts w:ascii="Tahoma" w:hAnsi="Tahoma" w:cs="Tahoma"/>
                <w:b/>
                <w:sz w:val="16"/>
                <w:szCs w:val="16"/>
                <w:lang w:val="en-US"/>
              </w:rPr>
              <w:t>press@interrao.ru</w:t>
            </w:r>
          </w:hyperlink>
          <w:r w:rsidR="005A6BD7">
            <w:rPr>
              <w:rFonts w:ascii="Tahoma" w:hAnsi="Tahoma" w:cs="Tahoma"/>
              <w:b/>
              <w:sz w:val="16"/>
              <w:szCs w:val="16"/>
              <w:lang w:val="en-US"/>
            </w:rPr>
            <w:t xml:space="preserve"> </w:t>
          </w:r>
        </w:p>
      </w:tc>
    </w:tr>
  </w:tbl>
  <w:p w:rsidR="00E15CB4" w:rsidRDefault="00E15CB4">
    <w:pPr>
      <w:pStyle w:val="ae"/>
      <w:rPr>
        <w:rFonts w:ascii="Tahoma" w:hAnsi="Tahoma" w:cs="Tahoma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1BD" w:rsidRDefault="006521BD">
      <w:r>
        <w:separator/>
      </w:r>
    </w:p>
  </w:footnote>
  <w:footnote w:type="continuationSeparator" w:id="0">
    <w:p w:rsidR="006521BD" w:rsidRDefault="006521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662F8"/>
    <w:multiLevelType w:val="hybridMultilevel"/>
    <w:tmpl w:val="436A8BDE"/>
    <w:lvl w:ilvl="0" w:tplc="61D6C5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6E040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B2A7F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A46B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E828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08A09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C06E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DA75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54A6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A6CA0"/>
    <w:multiLevelType w:val="hybridMultilevel"/>
    <w:tmpl w:val="22300DD4"/>
    <w:lvl w:ilvl="0" w:tplc="C25A88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0064176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ECE73D0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1CE6F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BD0961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162EC80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974848AE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F32C82A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AD6A26E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85274D0"/>
    <w:multiLevelType w:val="hybridMultilevel"/>
    <w:tmpl w:val="67327332"/>
    <w:lvl w:ilvl="0" w:tplc="D98203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06A44F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FBC085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3EA927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04CB49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DE27C74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BC492E0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C8CA304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296ADD0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9CA4615"/>
    <w:multiLevelType w:val="hybridMultilevel"/>
    <w:tmpl w:val="B29816AE"/>
    <w:lvl w:ilvl="0" w:tplc="5A668ED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4928FFBE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9FEA3C6E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B7446376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F16B1D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C840E52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D94B77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AD9E0CDE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EAE26A4A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8CC6D22"/>
    <w:multiLevelType w:val="hybridMultilevel"/>
    <w:tmpl w:val="E14A97F6"/>
    <w:lvl w:ilvl="0" w:tplc="58B224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39003F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9216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C4A4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C0BCB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4763E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A4CC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A040B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B36AA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C22218"/>
    <w:multiLevelType w:val="hybridMultilevel"/>
    <w:tmpl w:val="5BD434B2"/>
    <w:lvl w:ilvl="0" w:tplc="22068A42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 w:tplc="A0BCD70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C321C2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438D492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AF42842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7742A88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A37D8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0FA15B4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A844696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FD86B71"/>
    <w:multiLevelType w:val="hybridMultilevel"/>
    <w:tmpl w:val="21FE895A"/>
    <w:lvl w:ilvl="0" w:tplc="B6F8C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17C06C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A9A88B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39416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43E20B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DB41FC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2E460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30208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11088B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611A8E"/>
    <w:multiLevelType w:val="hybridMultilevel"/>
    <w:tmpl w:val="0520F812"/>
    <w:lvl w:ilvl="0" w:tplc="69CC4C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8B611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0B4D5D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0CAB4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7428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680EC8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1431C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E401A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FF6D65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87B2CB0"/>
    <w:multiLevelType w:val="hybridMultilevel"/>
    <w:tmpl w:val="205A64F8"/>
    <w:lvl w:ilvl="0" w:tplc="130884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05A7F6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65C68D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60CD0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B4DA0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51094D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1B6188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CC7EF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3F2A71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DD3600"/>
    <w:multiLevelType w:val="hybridMultilevel"/>
    <w:tmpl w:val="9C9A2BEA"/>
    <w:lvl w:ilvl="0" w:tplc="F8404C4E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AB880E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220FF0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33839D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9F87B8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6889D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980036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0691C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0E4A72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E8B3BCA"/>
    <w:multiLevelType w:val="hybridMultilevel"/>
    <w:tmpl w:val="E5384542"/>
    <w:lvl w:ilvl="0" w:tplc="67489E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EC2D56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404AC1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2E27C8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6425E5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E60F30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972222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00453F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E5AC90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C834B9"/>
    <w:multiLevelType w:val="hybridMultilevel"/>
    <w:tmpl w:val="C68C9CA2"/>
    <w:lvl w:ilvl="0" w:tplc="9C0C07B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3D3EDA66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7E01CEE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5DC4BC78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FA4A9CAC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1AAC808A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B0E4D182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11BCB2BE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C5AAABC0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34BF513A"/>
    <w:multiLevelType w:val="hybridMultilevel"/>
    <w:tmpl w:val="A46683CE"/>
    <w:lvl w:ilvl="0" w:tplc="E0C6AF2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D440570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A60D20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BFE402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E0EA4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FAFA4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C6639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D2764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5423E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62A3827"/>
    <w:multiLevelType w:val="hybridMultilevel"/>
    <w:tmpl w:val="E6B44F0C"/>
    <w:lvl w:ilvl="0" w:tplc="E2883DE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5172D1E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9ECB1BE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5816B644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D1CE43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DE16867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ED7EA584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9364C60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72FCBC90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6DA7654"/>
    <w:multiLevelType w:val="hybridMultilevel"/>
    <w:tmpl w:val="A5A8A6EE"/>
    <w:lvl w:ilvl="0" w:tplc="81F65AFA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8C54D66E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CDD63534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7B68E236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07228CA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1F6CB3D2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1114AC2C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B7221A8A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9724D01C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3B42153E"/>
    <w:multiLevelType w:val="hybridMultilevel"/>
    <w:tmpl w:val="21D2E55E"/>
    <w:lvl w:ilvl="0" w:tplc="E2E4E1BA">
      <w:start w:val="1"/>
      <w:numFmt w:val="decimal"/>
      <w:lvlText w:val="%1."/>
      <w:lvlJc w:val="left"/>
      <w:pPr>
        <w:tabs>
          <w:tab w:val="num" w:pos="2103"/>
        </w:tabs>
        <w:ind w:left="2103" w:hanging="2103"/>
      </w:pPr>
      <w:rPr>
        <w:rFonts w:hint="default"/>
      </w:rPr>
    </w:lvl>
    <w:lvl w:ilvl="1" w:tplc="60B6AA9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806CAF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1CC6D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F0868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22F0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B4A37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3B869A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2005B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415AE5"/>
    <w:multiLevelType w:val="hybridMultilevel"/>
    <w:tmpl w:val="AD46EBE2"/>
    <w:lvl w:ilvl="0" w:tplc="DE7AA5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4002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C82E5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CC52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9A670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6146B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968D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70ACF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F48A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BD3E7A"/>
    <w:multiLevelType w:val="hybridMultilevel"/>
    <w:tmpl w:val="03449B0E"/>
    <w:lvl w:ilvl="0" w:tplc="F828E32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D1C884D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C7AB97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B96316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BE4A5E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8C17E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F2E051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772EC4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0E0C10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F792016"/>
    <w:multiLevelType w:val="hybridMultilevel"/>
    <w:tmpl w:val="4C9C950A"/>
    <w:lvl w:ilvl="0" w:tplc="245AFA66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AC54BAC0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D5363084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AD7AA420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C4B74A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4A283204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36CDFD0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ED22E7CE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4FB0914E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3133E71"/>
    <w:multiLevelType w:val="hybridMultilevel"/>
    <w:tmpl w:val="64DCBD8A"/>
    <w:lvl w:ilvl="0" w:tplc="11BC98FA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1FBE4614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D97C1148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6E542CEE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2161BBC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6EAE97A4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EB247110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0C4571E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917E27BA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54DC4223"/>
    <w:multiLevelType w:val="hybridMultilevel"/>
    <w:tmpl w:val="DEE6A6CE"/>
    <w:lvl w:ilvl="0" w:tplc="C1F206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A50B754">
      <w:start w:val="1"/>
      <w:numFmt w:val="lowerLetter"/>
      <w:lvlText w:val="%2."/>
      <w:lvlJc w:val="left"/>
      <w:pPr>
        <w:ind w:left="1440" w:hanging="360"/>
      </w:pPr>
    </w:lvl>
    <w:lvl w:ilvl="2" w:tplc="BE425A80">
      <w:start w:val="1"/>
      <w:numFmt w:val="lowerRoman"/>
      <w:lvlText w:val="%3."/>
      <w:lvlJc w:val="right"/>
      <w:pPr>
        <w:ind w:left="2160" w:hanging="180"/>
      </w:pPr>
    </w:lvl>
    <w:lvl w:ilvl="3" w:tplc="568E1FE4">
      <w:start w:val="1"/>
      <w:numFmt w:val="decimal"/>
      <w:lvlText w:val="%4."/>
      <w:lvlJc w:val="left"/>
      <w:pPr>
        <w:ind w:left="2880" w:hanging="360"/>
      </w:pPr>
    </w:lvl>
    <w:lvl w:ilvl="4" w:tplc="D2CC9DA4">
      <w:start w:val="1"/>
      <w:numFmt w:val="lowerLetter"/>
      <w:lvlText w:val="%5."/>
      <w:lvlJc w:val="left"/>
      <w:pPr>
        <w:ind w:left="3600" w:hanging="360"/>
      </w:pPr>
    </w:lvl>
    <w:lvl w:ilvl="5" w:tplc="3112CAD0">
      <w:start w:val="1"/>
      <w:numFmt w:val="lowerRoman"/>
      <w:lvlText w:val="%6."/>
      <w:lvlJc w:val="right"/>
      <w:pPr>
        <w:ind w:left="4320" w:hanging="180"/>
      </w:pPr>
    </w:lvl>
    <w:lvl w:ilvl="6" w:tplc="2FEAAEE8">
      <w:start w:val="1"/>
      <w:numFmt w:val="decimal"/>
      <w:lvlText w:val="%7."/>
      <w:lvlJc w:val="left"/>
      <w:pPr>
        <w:ind w:left="5040" w:hanging="360"/>
      </w:pPr>
    </w:lvl>
    <w:lvl w:ilvl="7" w:tplc="6ED6A7B0">
      <w:start w:val="1"/>
      <w:numFmt w:val="lowerLetter"/>
      <w:lvlText w:val="%8."/>
      <w:lvlJc w:val="left"/>
      <w:pPr>
        <w:ind w:left="5760" w:hanging="360"/>
      </w:pPr>
    </w:lvl>
    <w:lvl w:ilvl="8" w:tplc="842E6A52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107681"/>
    <w:multiLevelType w:val="hybridMultilevel"/>
    <w:tmpl w:val="022A86CC"/>
    <w:lvl w:ilvl="0" w:tplc="E79A9CB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36C00F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BF2ADC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C805C5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9864D8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894133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962AE4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6640ED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CD4C5B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8160C33"/>
    <w:multiLevelType w:val="hybridMultilevel"/>
    <w:tmpl w:val="57AE3AA4"/>
    <w:lvl w:ilvl="0" w:tplc="137A942C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  <w:b/>
      </w:rPr>
    </w:lvl>
    <w:lvl w:ilvl="1" w:tplc="C23ACE66">
      <w:start w:val="1"/>
      <w:numFmt w:val="bullet"/>
      <w:lvlText w:val="o"/>
      <w:lvlJc w:val="left"/>
      <w:pPr>
        <w:ind w:left="1494" w:hanging="360"/>
      </w:pPr>
      <w:rPr>
        <w:rFonts w:ascii="Courier New" w:hAnsi="Courier New" w:hint="default"/>
      </w:rPr>
    </w:lvl>
    <w:lvl w:ilvl="2" w:tplc="C4347FBA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994460F8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67025394">
      <w:start w:val="1"/>
      <w:numFmt w:val="bullet"/>
      <w:lvlText w:val="o"/>
      <w:lvlJc w:val="left"/>
      <w:pPr>
        <w:ind w:left="3654" w:hanging="360"/>
      </w:pPr>
      <w:rPr>
        <w:rFonts w:ascii="Courier New" w:hAnsi="Courier New" w:hint="default"/>
      </w:rPr>
    </w:lvl>
    <w:lvl w:ilvl="5" w:tplc="C0E236C2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1F4888C8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226BA0C">
      <w:start w:val="1"/>
      <w:numFmt w:val="bullet"/>
      <w:lvlText w:val="o"/>
      <w:lvlJc w:val="left"/>
      <w:pPr>
        <w:ind w:left="5814" w:hanging="360"/>
      </w:pPr>
      <w:rPr>
        <w:rFonts w:ascii="Courier New" w:hAnsi="Courier New" w:hint="default"/>
      </w:rPr>
    </w:lvl>
    <w:lvl w:ilvl="8" w:tplc="DA824046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3" w15:restartNumberingAfterBreak="0">
    <w:nsid w:val="5E715CF9"/>
    <w:multiLevelType w:val="hybridMultilevel"/>
    <w:tmpl w:val="E80256A4"/>
    <w:lvl w:ilvl="0" w:tplc="5114061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A7EEDD6E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693EFD66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CBFC1D20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C130ED0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34A1C94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B4F6DD7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80DC1728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D484692E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EEF19F3"/>
    <w:multiLevelType w:val="hybridMultilevel"/>
    <w:tmpl w:val="4970C592"/>
    <w:lvl w:ilvl="0" w:tplc="1A1AA412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DD7C75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34BAA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941FE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464E6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46593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08404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10A90D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37CCA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11E6F32"/>
    <w:multiLevelType w:val="hybridMultilevel"/>
    <w:tmpl w:val="2CB6ACAC"/>
    <w:lvl w:ilvl="0" w:tplc="D07838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C9CB49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08E17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FE824B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06666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5D69A2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154AF3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2AF04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416F8C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C7018E"/>
    <w:multiLevelType w:val="hybridMultilevel"/>
    <w:tmpl w:val="BE148EC6"/>
    <w:lvl w:ilvl="0" w:tplc="D4DEDC3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30C07DB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9276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FE07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D8A96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BD6F5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E80E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DCD22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74E3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0367EA"/>
    <w:multiLevelType w:val="hybridMultilevel"/>
    <w:tmpl w:val="9AF060F4"/>
    <w:lvl w:ilvl="0" w:tplc="0666DAD2">
      <w:start w:val="1"/>
      <w:numFmt w:val="decimal"/>
      <w:lvlText w:val="%1."/>
      <w:lvlJc w:val="left"/>
      <w:pPr>
        <w:tabs>
          <w:tab w:val="num" w:pos="2812"/>
        </w:tabs>
        <w:ind w:left="2812" w:hanging="2103"/>
      </w:pPr>
      <w:rPr>
        <w:rFonts w:hint="default"/>
      </w:rPr>
    </w:lvl>
    <w:lvl w:ilvl="1" w:tplc="668EDA7A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1CCC2EAC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C0229E0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EA66D262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76681164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AE32241C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A8868A40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2ED636D6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8" w15:restartNumberingAfterBreak="0">
    <w:nsid w:val="79157028"/>
    <w:multiLevelType w:val="hybridMultilevel"/>
    <w:tmpl w:val="031824BA"/>
    <w:lvl w:ilvl="0" w:tplc="6BE238F2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F0F804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798656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3A0D65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20D1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18A471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5CC7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CA6DE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C284E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D9F0BAB"/>
    <w:multiLevelType w:val="hybridMultilevel"/>
    <w:tmpl w:val="A5F2B0C8"/>
    <w:lvl w:ilvl="0" w:tplc="7AC0768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094E386">
      <w:start w:val="1"/>
      <w:numFmt w:val="lowerLetter"/>
      <w:lvlText w:val="%2."/>
      <w:lvlJc w:val="left"/>
      <w:pPr>
        <w:ind w:left="1440" w:hanging="360"/>
      </w:pPr>
    </w:lvl>
    <w:lvl w:ilvl="2" w:tplc="0BF65F00">
      <w:start w:val="1"/>
      <w:numFmt w:val="lowerRoman"/>
      <w:lvlText w:val="%3."/>
      <w:lvlJc w:val="right"/>
      <w:pPr>
        <w:ind w:left="2160" w:hanging="180"/>
      </w:pPr>
    </w:lvl>
    <w:lvl w:ilvl="3" w:tplc="1E0E6E16">
      <w:start w:val="1"/>
      <w:numFmt w:val="decimal"/>
      <w:lvlText w:val="%4."/>
      <w:lvlJc w:val="left"/>
      <w:pPr>
        <w:ind w:left="2880" w:hanging="360"/>
      </w:pPr>
    </w:lvl>
    <w:lvl w:ilvl="4" w:tplc="BCDAAB46">
      <w:start w:val="1"/>
      <w:numFmt w:val="lowerLetter"/>
      <w:lvlText w:val="%5."/>
      <w:lvlJc w:val="left"/>
      <w:pPr>
        <w:ind w:left="3600" w:hanging="360"/>
      </w:pPr>
    </w:lvl>
    <w:lvl w:ilvl="5" w:tplc="190C1F4A">
      <w:start w:val="1"/>
      <w:numFmt w:val="lowerRoman"/>
      <w:lvlText w:val="%6."/>
      <w:lvlJc w:val="right"/>
      <w:pPr>
        <w:ind w:left="4320" w:hanging="180"/>
      </w:pPr>
    </w:lvl>
    <w:lvl w:ilvl="6" w:tplc="DB025CD6">
      <w:start w:val="1"/>
      <w:numFmt w:val="decimal"/>
      <w:lvlText w:val="%7."/>
      <w:lvlJc w:val="left"/>
      <w:pPr>
        <w:ind w:left="5040" w:hanging="360"/>
      </w:pPr>
    </w:lvl>
    <w:lvl w:ilvl="7" w:tplc="18EA16C6">
      <w:start w:val="1"/>
      <w:numFmt w:val="lowerLetter"/>
      <w:lvlText w:val="%8."/>
      <w:lvlJc w:val="left"/>
      <w:pPr>
        <w:ind w:left="5760" w:hanging="360"/>
      </w:pPr>
    </w:lvl>
    <w:lvl w:ilvl="8" w:tplc="104A5F2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2"/>
  </w:num>
  <w:num w:numId="5">
    <w:abstractNumId w:val="1"/>
  </w:num>
  <w:num w:numId="6">
    <w:abstractNumId w:val="8"/>
  </w:num>
  <w:num w:numId="7">
    <w:abstractNumId w:val="25"/>
  </w:num>
  <w:num w:numId="8">
    <w:abstractNumId w:val="9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4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8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24"/>
  </w:num>
  <w:num w:numId="13">
    <w:abstractNumId w:val="27"/>
  </w:num>
  <w:num w:numId="14">
    <w:abstractNumId w:val="15"/>
  </w:num>
  <w:num w:numId="15">
    <w:abstractNumId w:val="17"/>
  </w:num>
  <w:num w:numId="16">
    <w:abstractNumId w:val="29"/>
  </w:num>
  <w:num w:numId="17">
    <w:abstractNumId w:val="20"/>
  </w:num>
  <w:num w:numId="18">
    <w:abstractNumId w:val="26"/>
  </w:num>
  <w:num w:numId="19">
    <w:abstractNumId w:val="13"/>
  </w:num>
  <w:num w:numId="20">
    <w:abstractNumId w:val="19"/>
  </w:num>
  <w:num w:numId="21">
    <w:abstractNumId w:val="14"/>
  </w:num>
  <w:num w:numId="22">
    <w:abstractNumId w:val="18"/>
  </w:num>
  <w:num w:numId="23">
    <w:abstractNumId w:val="16"/>
  </w:num>
  <w:num w:numId="24">
    <w:abstractNumId w:val="4"/>
  </w:num>
  <w:num w:numId="25">
    <w:abstractNumId w:val="23"/>
  </w:num>
  <w:num w:numId="26">
    <w:abstractNumId w:val="3"/>
  </w:num>
  <w:num w:numId="27">
    <w:abstractNumId w:val="10"/>
  </w:num>
  <w:num w:numId="28">
    <w:abstractNumId w:val="0"/>
  </w:num>
  <w:num w:numId="29">
    <w:abstractNumId w:val="22"/>
  </w:num>
  <w:num w:numId="30">
    <w:abstractNumId w:val="11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5CB4"/>
    <w:rsid w:val="000A2A5B"/>
    <w:rsid w:val="001435CB"/>
    <w:rsid w:val="0030281F"/>
    <w:rsid w:val="005A6BD7"/>
    <w:rsid w:val="006521BD"/>
    <w:rsid w:val="007205E3"/>
    <w:rsid w:val="00975D05"/>
    <w:rsid w:val="00E1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040C5"/>
  <w15:docId w15:val="{6164E400-453D-4E27-92D0-6B0F7CACD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Calibri" w:eastAsia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character" w:customStyle="1" w:styleId="a4">
    <w:name w:val="Заголовок Знак"/>
    <w:basedOn w:val="a0"/>
    <w:link w:val="a5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aa">
    <w:name w:val="Верхний колонтитул Знак"/>
    <w:basedOn w:val="a0"/>
    <w:link w:val="ab"/>
    <w:uiPriority w:val="99"/>
  </w:style>
  <w:style w:type="character" w:customStyle="1" w:styleId="FooterChar">
    <w:name w:val="Footer Char"/>
    <w:basedOn w:val="a0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e"/>
    <w:uiPriority w:val="99"/>
  </w:style>
  <w:style w:type="table" w:styleId="af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1">
    <w:name w:val="Table Grid Light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1">
    <w:name w:val="Grid Table 1 Light - Accent 1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1">
    <w:name w:val="Grid Table 1 Light - Accent 21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1">
    <w:name w:val="Grid Table 1 Light - Accent 31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1">
    <w:name w:val="Grid Table 1 Light - Accent 41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1">
    <w:name w:val="Grid Table 1 Light - Accent 51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1">
    <w:name w:val="Grid Table 1 Light - Accent 61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1">
    <w:name w:val="Grid Table 2 - Accent 1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1">
    <w:name w:val="Grid Table 2 - Accent 21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1">
    <w:name w:val="Grid Table 2 - Accent 31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1">
    <w:name w:val="Grid Table 2 - Accent 41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1">
    <w:name w:val="Grid Table 2 - Accent 51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1">
    <w:name w:val="Grid Table 2 - Accent 61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1">
    <w:name w:val="Grid Table 3 - Accent 1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1">
    <w:name w:val="Grid Table 3 - Accent 21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1">
    <w:name w:val="Grid Table 3 - Accent 31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1">
    <w:name w:val="Grid Table 3 - Accent 41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1">
    <w:name w:val="Grid Table 3 - Accent 51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1">
    <w:name w:val="Grid Table 3 - Accent 61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1">
    <w:name w:val="Grid Table 4 - Accent 1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1">
    <w:name w:val="Grid Table 4 - Accent 21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1">
    <w:name w:val="Grid Table 4 - Accent 31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1">
    <w:name w:val="Grid Table 4 - Accent 41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1">
    <w:name w:val="Grid Table 4 - Accent 51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1">
    <w:name w:val="Grid Table 4 - Accent 61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1">
    <w:name w:val="Grid Table 5 Dark - Accent 2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1">
    <w:name w:val="Grid Table 5 Dark - Accent 3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1">
    <w:name w:val="Grid Table 5 Dark - Accent 5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1">
    <w:name w:val="Grid Table 5 Dark - Accent 6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1">
    <w:name w:val="Grid Table 6 Colorful - Accent 1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1">
    <w:name w:val="Grid Table 6 Colorful - Accent 21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1">
    <w:name w:val="Grid Table 6 Colorful - Accent 31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1">
    <w:name w:val="Grid Table 6 Colorful - Accent 41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1">
    <w:name w:val="Grid Table 6 Colorful - Accent 51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1">
    <w:name w:val="Grid Table 6 Colorful - Accent 61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1">
    <w:name w:val="Grid Table 7 Colorful - Accent 1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1">
    <w:name w:val="Grid Table 7 Colorful - Accent 21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1">
    <w:name w:val="Grid Table 7 Colorful - Accent 31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1">
    <w:name w:val="Grid Table 7 Colorful - Accent 41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1">
    <w:name w:val="Grid Table 7 Colorful - Accent 51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1">
    <w:name w:val="Grid Table 7 Colorful - Accent 61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1">
    <w:name w:val="List Table 1 Light - Accent 1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1">
    <w:name w:val="List Table 1 Light - Accent 2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1">
    <w:name w:val="List Table 1 Light - Accent 3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1">
    <w:name w:val="List Table 1 Light - Accent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1">
    <w:name w:val="List Table 1 Light - Accent 5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1">
    <w:name w:val="List Table 1 Light - Accent 6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1">
    <w:name w:val="List Table 2 - Accent 1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1">
    <w:name w:val="List Table 2 - Accent 21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1">
    <w:name w:val="List Table 2 - Accent 31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1">
    <w:name w:val="List Table 2 - Accent 41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1">
    <w:name w:val="List Table 2 - Accent 51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1">
    <w:name w:val="List Table 2 - Accent 61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1">
    <w:name w:val="List Table 3 - Accent 1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1">
    <w:name w:val="List Table 3 - Accent 21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1">
    <w:name w:val="List Table 3 - Accent 31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1">
    <w:name w:val="List Table 3 - Accent 41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1">
    <w:name w:val="List Table 3 - Accent 51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1">
    <w:name w:val="List Table 3 - Accent 61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1">
    <w:name w:val="List Table 4 - Accent 1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1">
    <w:name w:val="List Table 4 - Accent 21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1">
    <w:name w:val="List Table 4 - Accent 31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1">
    <w:name w:val="List Table 4 - Accent 41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1">
    <w:name w:val="List Table 4 - Accent 51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1">
    <w:name w:val="List Table 4 - Accent 61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1">
    <w:name w:val="List Table 5 Dark - Accent 1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1">
    <w:name w:val="List Table 5 Dark - Accent 21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1">
    <w:name w:val="List Table 5 Dark - Accent 31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1">
    <w:name w:val="List Table 5 Dark - Accent 41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1">
    <w:name w:val="List Table 5 Dark - Accent 51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1">
    <w:name w:val="List Table 5 Dark - Accent 61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1">
    <w:name w:val="List Table 6 Colorful - Accent 1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1">
    <w:name w:val="List Table 6 Colorful - Accent 21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1">
    <w:name w:val="List Table 6 Colorful - Accent 31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1">
    <w:name w:val="List Table 6 Colorful - Accent 41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1">
    <w:name w:val="List Table 6 Colorful - Accent 51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1">
    <w:name w:val="List Table 6 Colorful - Accent 61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1">
    <w:name w:val="List Table 7 Colorful - Accent 1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1">
    <w:name w:val="List Table 7 Colorful - Accent 21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1">
    <w:name w:val="List Table 7 Colorful - Accent 31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1">
    <w:name w:val="List Table 7 Colorful - Accent 41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1">
    <w:name w:val="List Table 7 Colorful - Accent 51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1">
    <w:name w:val="List Table 7 Colorful - Accent 61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af0">
    <w:name w:val="Текст сноски Знак"/>
    <w:link w:val="af1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</w:style>
  <w:style w:type="paragraph" w:styleId="af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f8">
    <w:name w:val="a"/>
    <w:basedOn w:val="a"/>
    <w:pPr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f9">
    <w:name w:val="Normal (Web)"/>
    <w:basedOn w:val="a"/>
    <w:uiPriority w:val="99"/>
    <w:qFormat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styleId="afa">
    <w:name w:val="Hyperlink"/>
    <w:rPr>
      <w:color w:val="0000FF"/>
      <w:u w:val="single"/>
    </w:rPr>
  </w:style>
  <w:style w:type="paragraph" w:styleId="ab">
    <w:name w:val="header"/>
    <w:basedOn w:val="a"/>
    <w:link w:val="aa"/>
    <w:pPr>
      <w:tabs>
        <w:tab w:val="center" w:pos="4677"/>
        <w:tab w:val="right" w:pos="9355"/>
      </w:tabs>
    </w:pPr>
  </w:style>
  <w:style w:type="paragraph" w:styleId="ae">
    <w:name w:val="footer"/>
    <w:basedOn w:val="a"/>
    <w:link w:val="ad"/>
    <w:pPr>
      <w:tabs>
        <w:tab w:val="center" w:pos="4677"/>
        <w:tab w:val="right" w:pos="9355"/>
      </w:tabs>
    </w:pPr>
  </w:style>
  <w:style w:type="paragraph" w:styleId="25">
    <w:name w:val="Body Text 2"/>
    <w:basedOn w:val="a"/>
    <w:rPr>
      <w:rFonts w:ascii="Arial Narrow" w:eastAsia="Times New Roman" w:hAnsi="Arial Narrow" w:cs="Arial Narrow"/>
      <w:i/>
      <w:iCs/>
      <w:sz w:val="26"/>
      <w:szCs w:val="26"/>
    </w:rPr>
  </w:style>
  <w:style w:type="paragraph" w:styleId="afb">
    <w:name w:val="Plain Text"/>
    <w:basedOn w:val="a"/>
    <w:rPr>
      <w:rFonts w:ascii="Consolas" w:eastAsia="Times New Roman" w:hAnsi="Consolas"/>
      <w:sz w:val="21"/>
      <w:szCs w:val="21"/>
      <w:lang w:val="en-US" w:eastAsia="en-US"/>
    </w:rPr>
  </w:style>
  <w:style w:type="character" w:customStyle="1" w:styleId="43">
    <w:name w:val="Знак Знак4"/>
    <w:rPr>
      <w:rFonts w:ascii="Consolas" w:hAnsi="Consolas"/>
      <w:sz w:val="21"/>
      <w:szCs w:val="21"/>
      <w:lang w:val="en-US" w:eastAsia="en-US" w:bidi="ar-SA"/>
    </w:rPr>
  </w:style>
  <w:style w:type="character" w:styleId="afc">
    <w:name w:val="FollowedHyperlink"/>
    <w:rPr>
      <w:color w:val="800080"/>
      <w:u w:val="single"/>
    </w:rPr>
  </w:style>
  <w:style w:type="character" w:styleId="afd">
    <w:name w:val="annotation reference"/>
    <w:semiHidden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rPr>
      <w:sz w:val="20"/>
      <w:szCs w:val="20"/>
    </w:rPr>
  </w:style>
  <w:style w:type="paragraph" w:styleId="aff0">
    <w:name w:val="annotation subject"/>
    <w:basedOn w:val="afe"/>
    <w:next w:val="afe"/>
    <w:semiHidden/>
    <w:rPr>
      <w:b/>
      <w:bCs/>
    </w:rPr>
  </w:style>
  <w:style w:type="paragraph" w:customStyle="1" w:styleId="Default">
    <w:name w:val="Default"/>
    <w:rPr>
      <w:color w:val="000000"/>
      <w:sz w:val="24"/>
      <w:szCs w:val="24"/>
    </w:rPr>
  </w:style>
  <w:style w:type="character" w:customStyle="1" w:styleId="highlight1">
    <w:name w:val="highlight1"/>
    <w:rPr>
      <w:b/>
      <w:bCs/>
      <w:color w:val="FF0000"/>
    </w:rPr>
  </w:style>
  <w:style w:type="paragraph" w:styleId="af1">
    <w:name w:val="footnote text"/>
    <w:basedOn w:val="a"/>
    <w:link w:val="af0"/>
    <w:semiHidden/>
    <w:rPr>
      <w:sz w:val="20"/>
      <w:szCs w:val="20"/>
    </w:rPr>
  </w:style>
  <w:style w:type="character" w:styleId="aff1">
    <w:name w:val="footnote reference"/>
    <w:semiHidden/>
    <w:rPr>
      <w:vertAlign w:val="superscript"/>
    </w:rPr>
  </w:style>
  <w:style w:type="paragraph" w:customStyle="1" w:styleId="aff2">
    <w:name w:val="Знак"/>
    <w:basedOn w:val="a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 w:eastAsia="en-US"/>
    </w:rPr>
  </w:style>
  <w:style w:type="character" w:styleId="aff3">
    <w:name w:val="Emphasis"/>
    <w:qFormat/>
    <w:rPr>
      <w:i/>
      <w:iCs/>
    </w:rPr>
  </w:style>
  <w:style w:type="character" w:styleId="aff4">
    <w:name w:val="Strong"/>
    <w:qFormat/>
    <w:rPr>
      <w:b/>
      <w:bCs/>
    </w:rPr>
  </w:style>
  <w:style w:type="paragraph" w:styleId="a5">
    <w:name w:val="Title"/>
    <w:basedOn w:val="a"/>
    <w:link w:val="a4"/>
    <w:qFormat/>
    <w:pPr>
      <w:spacing w:line="360" w:lineRule="auto"/>
      <w:ind w:firstLine="709"/>
      <w:jc w:val="center"/>
    </w:pPr>
    <w:rPr>
      <w:rFonts w:ascii="Times New Roman" w:eastAsia="Times New Roman" w:hAnsi="Times New Roman"/>
      <w:sz w:val="28"/>
      <w:szCs w:val="28"/>
    </w:rPr>
  </w:style>
  <w:style w:type="paragraph" w:styleId="aff5">
    <w:name w:val="Revision"/>
    <w:hidden/>
    <w:uiPriority w:val="99"/>
    <w:semiHidden/>
    <w:rPr>
      <w:rFonts w:ascii="Calibri" w:eastAsia="Calibri" w:hAnsi="Calibri"/>
      <w:sz w:val="22"/>
      <w:szCs w:val="22"/>
    </w:rPr>
  </w:style>
  <w:style w:type="character" w:customStyle="1" w:styleId="aff">
    <w:name w:val="Текст примечания Знак"/>
    <w:link w:val="afe"/>
    <w:uiPriority w:val="99"/>
    <w:semiHidden/>
    <w:rPr>
      <w:rFonts w:ascii="Calibri" w:eastAsia="Calibri" w:hAnsi="Calibri"/>
    </w:rPr>
  </w:style>
  <w:style w:type="paragraph" w:styleId="aff6">
    <w:name w:val="List Paragraph"/>
    <w:basedOn w:val="a"/>
    <w:uiPriority w:val="99"/>
    <w:qFormat/>
    <w:pPr>
      <w:spacing w:after="200" w:line="276" w:lineRule="auto"/>
      <w:ind w:left="720"/>
      <w:contextualSpacing/>
    </w:pPr>
    <w:rPr>
      <w:rFonts w:eastAsia="Times New Roman"/>
      <w:lang w:val="en-US" w:eastAsia="en-US"/>
    </w:rPr>
  </w:style>
  <w:style w:type="character" w:customStyle="1" w:styleId="UnresolvedMention1">
    <w:name w:val="Unresolved Mention1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jp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image" Target="media/image10.jpg"/><Relationship Id="rId2" Type="http://schemas.openxmlformats.org/officeDocument/2006/relationships/customXml" Target="../customXml/item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@interrao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@interra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8A57D39EA87654A826E1AE073001366" ma:contentTypeVersion="33" ma:contentTypeDescription="Создание документа." ma:contentTypeScope="" ma:versionID="3a05dd6dcbc786e87c2d46ca96dd04c2">
  <xsd:schema xmlns:xsd="http://www.w3.org/2001/XMLSchema" xmlns:xs="http://www.w3.org/2001/XMLSchema" xmlns:p="http://schemas.microsoft.com/office/2006/metadata/properties" xmlns:ns1="http://schemas.microsoft.com/sharepoint/v3" xmlns:ns2="cd3664f2-095a-4f8b-9d55-6e8dac6b38e9" xmlns:ns3="357de74d-0576-4f64-94f1-0981946002d6" xmlns:ns4="http://schemas.microsoft.com/sharepoint/v4" targetNamespace="http://schemas.microsoft.com/office/2006/metadata/properties" ma:root="true" ma:fieldsID="ec06f605acae4b809719ca679797f4da" ns1:_="" ns2:_="" ns3:_="" ns4:_="">
    <xsd:import namespace="http://schemas.microsoft.com/sharepoint/v3"/>
    <xsd:import namespace="cd3664f2-095a-4f8b-9d55-6e8dac6b38e9"/>
    <xsd:import namespace="357de74d-0576-4f64-94f1-0981946002d6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gram" minOccurs="0"/>
                <xsd:element ref="ns3:_dlc_DocId" minOccurs="0"/>
                <xsd:element ref="ns3:_dlc_DocIdUrl" minOccurs="0"/>
                <xsd:element ref="ns3:_dlc_DocIdPersistId" minOccurs="0"/>
                <xsd:element ref="ns2:Project_Value" minOccurs="0"/>
                <xsd:element ref="ns2:Program_Value" minOccurs="0"/>
                <xsd:element ref="ns4:IconOverlay" minOccurs="0"/>
                <xsd:element ref="ns3:TaxCatchAll" minOccurs="0"/>
                <xsd:element ref="ns2:g943717a092c4fc1b62636c74327ccfa" minOccurs="0"/>
                <xsd:element ref="ns1:_vti_ItemDeclaredRecord" minOccurs="0"/>
                <xsd:element ref="ns1:_vti_ItemHoldRecord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21" nillable="true" ma:displayName="Объявленная запись" ma:hidden="true" ma:internalName="_vti_ItemDeclaredRecord" ma:readOnly="true">
      <xsd:simpleType>
        <xsd:restriction base="dms:DateTime"/>
      </xsd:simpleType>
    </xsd:element>
    <xsd:element name="_vti_ItemHoldRecordStatus" ma:index="22" nillable="true" ma:displayName="Состояние записи и удержания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3664f2-095a-4f8b-9d55-6e8dac6b38e9" elementFormDefault="qualified">
    <xsd:import namespace="http://schemas.microsoft.com/office/2006/documentManagement/types"/>
    <xsd:import namespace="http://schemas.microsoft.com/office/infopath/2007/PartnerControls"/>
    <xsd:element name="Project" ma:index="2" nillable="true" ma:displayName="Клиент" ma:indexed="true" ma:internalName="Project">
      <xsd:simpleType>
        <xsd:restriction base="dms:Unknown"/>
      </xsd:simpleType>
    </xsd:element>
    <xsd:element name="Program" ma:index="3" nillable="true" ma:displayName="Проект" ma:indexed="true" ma:internalName="Program">
      <xsd:simpleType>
        <xsd:restriction base="dms:Unknown"/>
      </xsd:simpleType>
    </xsd:element>
    <xsd:element name="Project_Value" ma:index="10" nillable="true" ma:displayName="Project_Value" ma:hidden="true" ma:internalName="Project_Value" ma:readOnly="false">
      <xsd:simpleType>
        <xsd:restriction base="dms:Text"/>
      </xsd:simpleType>
    </xsd:element>
    <xsd:element name="Program_Value" ma:index="12" nillable="true" ma:displayName="Program_Value" ma:hidden="true" ma:internalName="Program_Value" ma:readOnly="false">
      <xsd:simpleType>
        <xsd:restriction base="dms:Text"/>
      </xsd:simpleType>
    </xsd:element>
    <xsd:element name="g943717a092c4fc1b62636c74327ccfa" ma:index="18" nillable="true" ma:taxonomy="true" ma:internalName="g943717a092c4fc1b62636c74327ccfa" ma:taxonomyFieldName="Department" ma:displayName="Практика" ma:default="" ma:fieldId="{0943717a-092c-4fc1-b626-36c74327ccfa}" ma:sspId="605086db-a9be-4a34-a41c-e0db27f7284e" ma:termSetId="a6a5710a-213b-442e-9230-089bae104af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7de74d-0576-4f64-94f1-0981946002d6" elementFormDefault="qualified">
    <xsd:import namespace="http://schemas.microsoft.com/office/2006/documentManagement/types"/>
    <xsd:import namespace="http://schemas.microsoft.com/office/infopath/2007/PartnerControls"/>
    <xsd:element name="_dlc_DocId" ma:index="6" nillable="true" ma:displayName="Значение идентификатора документа" ma:description="Значение идентификатора документа, присвоенного данному элементу." ma:indexed="true" ma:internalName="_dlc_DocId" ma:readOnly="true">
      <xsd:simpleType>
        <xsd:restriction base="dms:Text"/>
      </xsd:simpleType>
    </xsd:element>
    <xsd:element name="_dlc_DocIdUrl" ma:index="7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8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  <xsd:element name="TaxCatchAll" ma:index="16" nillable="true" ma:displayName="Столбец для захвата всех терминов таксономии" ma:hidden="true" ma:list="{1945cbee-8e77-4ba9-90e6-c2c7f6e6bc49}" ma:internalName="TaxCatchAll" ma:showField="CatchAllData" ma:web="357de74d-0576-4f64-94f1-0981946002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5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Тип контента"/>
        <xsd:element ref="dc:title" minOccurs="0" maxOccurs="1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Value xmlns="cd3664f2-095a-4f8b-9d55-6e8dac6b38e9" xsi:nil="true"/>
    <IconOverlay xmlns="http://schemas.microsoft.com/sharepoint/v4" xsi:nil="true"/>
    <Program xmlns="cd3664f2-095a-4f8b-9d55-6e8dac6b38e9" xsi:nil="true"/>
    <g943717a092c4fc1b62636c74327ccfa xmlns="cd3664f2-095a-4f8b-9d55-6e8dac6b38e9">
      <Terms xmlns="http://schemas.microsoft.com/office/infopath/2007/PartnerControls"/>
    </g943717a092c4fc1b62636c74327ccfa>
    <Project xmlns="cd3664f2-095a-4f8b-9d55-6e8dac6b38e9" xsi:nil="true"/>
    <Program_Value xmlns="cd3664f2-095a-4f8b-9d55-6e8dac6b38e9" xsi:nil="true"/>
    <TaxCatchAll xmlns="357de74d-0576-4f64-94f1-0981946002d6"/>
    <_dlc_DocId xmlns="357de74d-0576-4f64-94f1-0981946002d6">C7SY476UVPAM-52-584055</_dlc_DocId>
    <_dlc_DocIdUrl xmlns="357de74d-0576-4f64-94f1-0981946002d6">
      <Url>http://mp27/Docs/_layouts/DocIdRedir.aspx?ID=C7SY476UVPAM-52-584055</Url>
      <Description>C7SY476UVPAM-52-584055</Description>
    </_dlc_DocIdUrl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7BC8F0-E4BA-4172-9B55-153898998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d3664f2-095a-4f8b-9d55-6e8dac6b38e9"/>
    <ds:schemaRef ds:uri="357de74d-0576-4f64-94f1-0981946002d6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8D46FB-0AD2-40A4-BDB6-D5DCCD997D1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5B279A4-6BB2-4F2B-BA94-E2903115C436}">
  <ds:schemaRefs>
    <ds:schemaRef ds:uri="http://schemas.microsoft.com/office/2006/metadata/properties"/>
    <ds:schemaRef ds:uri="http://schemas.microsoft.com/office/infopath/2007/PartnerControls"/>
    <ds:schemaRef ds:uri="cd3664f2-095a-4f8b-9d55-6e8dac6b38e9"/>
    <ds:schemaRef ds:uri="http://schemas.microsoft.com/sharepoint/v4"/>
    <ds:schemaRef ds:uri="357de74d-0576-4f64-94f1-0981946002d6"/>
  </ds:schemaRefs>
</ds:datastoreItem>
</file>

<file path=customXml/itemProps4.xml><?xml version="1.0" encoding="utf-8"?>
<ds:datastoreItem xmlns:ds="http://schemas.openxmlformats.org/officeDocument/2006/customXml" ds:itemID="{031196D1-623C-494F-877D-C8F409470E8F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18C540EE-D878-45E8-A371-6FD89BBCF8AB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B71B4A0B-15A2-4924-B998-5D5972271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1295</Words>
  <Characters>7383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20180202_ИРАО_ Производственные результаты_2017.docx</vt:lpstr>
    </vt:vector>
  </TitlesOfParts>
  <Company>Inter RAO UES</Company>
  <LinksUpToDate>false</LinksUpToDate>
  <CharactersWithSpaces>8661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20180202_ИРАО_ Производственные результаты_2017.docx</dc:title>
  <dc:creator>Кузин Николай Леонидович</dc:creator>
  <cp:lastModifiedBy>Модина Анастасия Михайловна</cp:lastModifiedBy>
  <cp:revision>4</cp:revision>
  <dcterms:created xsi:type="dcterms:W3CDTF">2024-08-12T09:35:00Z</dcterms:created>
  <dcterms:modified xsi:type="dcterms:W3CDTF">2024-08-14T07:21:00Z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niq">
    <vt:lpwstr/>
  </property>
  <property fmtid="{D5CDD505-2E9C-101B-9397-08002B2CF9AE}" pid="3" name="_dlc_DocIdItemGuid">
    <vt:lpwstr>ef6bda9c-ce02-4015-828e-8150fb375c1a</vt:lpwstr>
  </property>
  <property fmtid="{D5CDD505-2E9C-101B-9397-08002B2CF9AE}" pid="4" name="ContentTypeId">
    <vt:lpwstr>0x010100F8A57D39EA87654A826E1AE073001366</vt:lpwstr>
  </property>
</Properties>
</file>