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6595361"/>
    <w:p w:rsidR="00E15CB4" w:rsidRDefault="005A6BD7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9525</wp:posOffset>
                </wp:positionV>
                <wp:extent cx="1498600" cy="1416050"/>
                <wp:effectExtent l="0" t="0" r="6350" b="0"/>
                <wp:wrapSquare wrapText="bothSides"/>
                <wp:docPr id="1" name="Рисунок 1" descr="INTER_RAO_slogan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NTER_RAO_slogan-01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23521" t="27272" r="54451" b="56699"/>
                        <a:stretch/>
                      </pic:blipFill>
                      <pic:spPr bwMode="auto">
                        <a:xfrm>
                          <a:off x="0" y="0"/>
                          <a:ext cx="1498600" cy="141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81.50pt;mso-position-horizontal:absolute;mso-position-vertical-relative:text;margin-top:0.75pt;mso-position-vertical:absolute;width:118.00pt;height:111.50pt;mso-wrap-distance-left:9.00pt;mso-wrap-distance-top:0.00pt;mso-wrap-distance-right:9.00pt;mso-wrap-distance-bottom:0.00pt;" stroked="f">
                <v:path textboxrect="0,0,0,0"/>
                <w10:wrap type="square"/>
                <v:imagedata r:id="rId17" o:title=""/>
              </v:shape>
            </w:pict>
          </mc:Fallback>
        </mc:AlternateConten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15CB4" w:rsidRDefault="00E15CB4">
      <w:pPr>
        <w:pBdr>
          <w:bottom w:val="single" w:sz="4" w:space="1" w:color="000000"/>
        </w:pBdr>
        <w:rPr>
          <w:rFonts w:ascii="Tahoma" w:hAnsi="Tahoma" w:cs="Tahoma"/>
          <w:b/>
          <w:i/>
        </w:rPr>
      </w:pPr>
    </w:p>
    <w:p w:rsidR="00E15CB4" w:rsidRDefault="005A6BD7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июля 2024, Москва</w:t>
      </w:r>
    </w:p>
    <w:p w:rsidR="00E15CB4" w:rsidRDefault="005A6BD7">
      <w:pPr>
        <w:spacing w:before="360" w:after="24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ПАО «Интер РАО» опубликовало </w:t>
      </w:r>
      <w:r>
        <w:rPr>
          <w:rFonts w:ascii="Arial" w:hAnsi="Arial" w:cs="Arial"/>
          <w:b/>
          <w:sz w:val="32"/>
          <w:szCs w:val="32"/>
        </w:rPr>
        <w:br w:type="textWrapping" w:clear="all"/>
      </w:r>
      <w:r>
        <w:rPr>
          <w:rFonts w:ascii="Arial" w:hAnsi="Arial" w:cs="Arial"/>
          <w:b/>
          <w:sz w:val="32"/>
          <w:szCs w:val="32"/>
        </w:rPr>
        <w:t xml:space="preserve">отчётность по РСБУ за </w:t>
      </w:r>
      <w:r>
        <w:rPr>
          <w:rFonts w:ascii="Arial" w:hAnsi="Arial" w:cs="Arial"/>
          <w:b/>
          <w:sz w:val="32"/>
          <w:szCs w:val="32"/>
          <w:lang w:val="en-US"/>
        </w:rPr>
        <w:t>I</w:t>
      </w:r>
      <w:r>
        <w:rPr>
          <w:rFonts w:ascii="Arial" w:hAnsi="Arial" w:cs="Arial"/>
          <w:b/>
          <w:sz w:val="32"/>
          <w:szCs w:val="32"/>
        </w:rPr>
        <w:t xml:space="preserve"> полугодие 2024 года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ПАО «Интер РАО» опубликовало бухгалтерскую (финансовую) отчётность за первое полугодие 2024 года по российским стандартам бухгалтерского учёта.</w:t>
      </w:r>
    </w:p>
    <w:p w:rsidR="00E15CB4" w:rsidRDefault="00E15CB4">
      <w:pPr>
        <w:jc w:val="both"/>
        <w:rPr>
          <w:rFonts w:ascii="Arial Narrow" w:eastAsia="Times New Roman" w:hAnsi="Arial Narrow" w:cs="Arial"/>
          <w:b/>
          <w:bCs/>
          <w:color w:val="33333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551"/>
        <w:gridCol w:w="2410"/>
        <w:gridCol w:w="1383"/>
      </w:tblGrid>
      <w:tr w:rsidR="00E15CB4">
        <w:tc>
          <w:tcPr>
            <w:tcW w:w="3227" w:type="dxa"/>
          </w:tcPr>
          <w:p w:rsidR="00E15CB4" w:rsidRDefault="005A6BD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Показатель*</w:t>
            </w:r>
          </w:p>
        </w:tc>
        <w:tc>
          <w:tcPr>
            <w:tcW w:w="2551" w:type="dxa"/>
          </w:tcPr>
          <w:p w:rsidR="00E15CB4" w:rsidRDefault="005A6BD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 xml:space="preserve">I </w:t>
            </w:r>
            <w:r>
              <w:rPr>
                <w:rFonts w:ascii="Arial Narrow" w:hAnsi="Arial Narrow" w:cs="Arial"/>
              </w:rPr>
              <w:t>полугодие 202</w:t>
            </w:r>
            <w:r>
              <w:rPr>
                <w:rFonts w:ascii="Arial Narrow" w:hAnsi="Arial Narrow" w:cs="Arial"/>
                <w:lang w:val="en-US"/>
              </w:rPr>
              <w:t xml:space="preserve">4 </w:t>
            </w:r>
            <w:r>
              <w:rPr>
                <w:rFonts w:ascii="Arial Narrow" w:hAnsi="Arial Narrow" w:cs="Arial"/>
              </w:rPr>
              <w:t>года</w:t>
            </w:r>
          </w:p>
        </w:tc>
        <w:tc>
          <w:tcPr>
            <w:tcW w:w="2410" w:type="dxa"/>
          </w:tcPr>
          <w:p w:rsidR="00E15CB4" w:rsidRDefault="005A6BD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 xml:space="preserve">I </w:t>
            </w:r>
            <w:r>
              <w:rPr>
                <w:rFonts w:ascii="Arial Narrow" w:hAnsi="Arial Narrow" w:cs="Arial"/>
              </w:rPr>
              <w:t>полугодие 2023 года</w:t>
            </w:r>
          </w:p>
        </w:tc>
        <w:tc>
          <w:tcPr>
            <w:tcW w:w="1383" w:type="dxa"/>
          </w:tcPr>
          <w:p w:rsidR="00E15CB4" w:rsidRDefault="005A6BD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+/-</w:t>
            </w:r>
          </w:p>
        </w:tc>
      </w:tr>
      <w:tr w:rsidR="00E15CB4">
        <w:trPr>
          <w:trHeight w:val="322"/>
        </w:trPr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Выручка</w:t>
            </w:r>
          </w:p>
        </w:tc>
        <w:tc>
          <w:tcPr>
            <w:tcW w:w="2551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20,3</w:t>
            </w:r>
          </w:p>
        </w:tc>
        <w:tc>
          <w:tcPr>
            <w:tcW w:w="2410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16,5</w:t>
            </w:r>
          </w:p>
        </w:tc>
        <w:tc>
          <w:tcPr>
            <w:tcW w:w="1383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23,2%</w:t>
            </w:r>
          </w:p>
        </w:tc>
      </w:tr>
      <w:tr w:rsidR="00E15CB4">
        <w:trPr>
          <w:trHeight w:val="415"/>
        </w:trPr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Себестоимость</w:t>
            </w:r>
          </w:p>
        </w:tc>
        <w:tc>
          <w:tcPr>
            <w:tcW w:w="2551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16,9</w:t>
            </w:r>
          </w:p>
        </w:tc>
        <w:tc>
          <w:tcPr>
            <w:tcW w:w="2410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14,0</w:t>
            </w:r>
          </w:p>
        </w:tc>
        <w:tc>
          <w:tcPr>
            <w:tcW w:w="1383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20,8%</w:t>
            </w:r>
          </w:p>
        </w:tc>
      </w:tr>
      <w:tr w:rsidR="00E15CB4">
        <w:trPr>
          <w:trHeight w:val="415"/>
        </w:trPr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Валовая прибыль</w:t>
            </w:r>
          </w:p>
        </w:tc>
        <w:tc>
          <w:tcPr>
            <w:tcW w:w="2551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3,3</w:t>
            </w:r>
          </w:p>
        </w:tc>
        <w:tc>
          <w:tcPr>
            <w:tcW w:w="2410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2,5</w:t>
            </w:r>
          </w:p>
        </w:tc>
        <w:tc>
          <w:tcPr>
            <w:tcW w:w="1383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36,3%</w:t>
            </w:r>
          </w:p>
        </w:tc>
      </w:tr>
      <w:tr w:rsidR="00E15CB4">
        <w:trPr>
          <w:trHeight w:val="415"/>
        </w:trPr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Убыток от продаж</w:t>
            </w:r>
          </w:p>
        </w:tc>
        <w:tc>
          <w:tcPr>
            <w:tcW w:w="2551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-3,4</w:t>
            </w:r>
          </w:p>
        </w:tc>
        <w:tc>
          <w:tcPr>
            <w:tcW w:w="2410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-2,7</w:t>
            </w:r>
          </w:p>
        </w:tc>
        <w:tc>
          <w:tcPr>
            <w:tcW w:w="1383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26,6%</w:t>
            </w:r>
          </w:p>
        </w:tc>
      </w:tr>
      <w:tr w:rsidR="00E15CB4">
        <w:trPr>
          <w:trHeight w:val="415"/>
        </w:trPr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Чистая прибыль</w:t>
            </w:r>
          </w:p>
        </w:tc>
        <w:tc>
          <w:tcPr>
            <w:tcW w:w="2551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20,0</w:t>
            </w:r>
          </w:p>
        </w:tc>
        <w:tc>
          <w:tcPr>
            <w:tcW w:w="2410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3,6</w:t>
            </w:r>
          </w:p>
        </w:tc>
        <w:tc>
          <w:tcPr>
            <w:tcW w:w="1383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 5,6 раз</w:t>
            </w:r>
          </w:p>
        </w:tc>
      </w:tr>
      <w:tr w:rsidR="00E15CB4">
        <w:trPr>
          <w:trHeight w:val="274"/>
        </w:trPr>
        <w:tc>
          <w:tcPr>
            <w:tcW w:w="9571" w:type="dxa"/>
            <w:gridSpan w:val="4"/>
          </w:tcPr>
          <w:p w:rsidR="00E15CB4" w:rsidRDefault="00E15CB4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E15CB4">
        <w:trPr>
          <w:trHeight w:val="171"/>
        </w:trPr>
        <w:tc>
          <w:tcPr>
            <w:tcW w:w="3227" w:type="dxa"/>
          </w:tcPr>
          <w:p w:rsidR="00E15CB4" w:rsidRDefault="00E15CB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 30 июня 2024 года</w:t>
            </w:r>
          </w:p>
        </w:tc>
        <w:tc>
          <w:tcPr>
            <w:tcW w:w="2410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 31 декабря 2023 года</w:t>
            </w:r>
          </w:p>
        </w:tc>
        <w:tc>
          <w:tcPr>
            <w:tcW w:w="1383" w:type="dxa"/>
          </w:tcPr>
          <w:p w:rsidR="00E15CB4" w:rsidRDefault="00E15CB4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E15CB4">
        <w:trPr>
          <w:trHeight w:val="486"/>
        </w:trPr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Совокупные активы</w:t>
            </w:r>
          </w:p>
        </w:tc>
        <w:tc>
          <w:tcPr>
            <w:tcW w:w="2551" w:type="dxa"/>
          </w:tcPr>
          <w:p w:rsidR="00E15CB4" w:rsidRDefault="005A6BD7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783,4</w:t>
            </w:r>
          </w:p>
        </w:tc>
        <w:tc>
          <w:tcPr>
            <w:tcW w:w="2410" w:type="dxa"/>
          </w:tcPr>
          <w:p w:rsidR="00E15CB4" w:rsidRDefault="005A6BD7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790,2</w:t>
            </w:r>
          </w:p>
        </w:tc>
        <w:tc>
          <w:tcPr>
            <w:tcW w:w="1383" w:type="dxa"/>
          </w:tcPr>
          <w:p w:rsidR="00E15CB4" w:rsidRDefault="005A6BD7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-0,9%</w:t>
            </w:r>
          </w:p>
        </w:tc>
      </w:tr>
      <w:tr w:rsidR="00E15CB4"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Итого капитал</w:t>
            </w:r>
          </w:p>
        </w:tc>
        <w:tc>
          <w:tcPr>
            <w:tcW w:w="2551" w:type="dxa"/>
          </w:tcPr>
          <w:p w:rsidR="00E15CB4" w:rsidRDefault="005A6BD7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451,0</w:t>
            </w:r>
          </w:p>
        </w:tc>
        <w:tc>
          <w:tcPr>
            <w:tcW w:w="2410" w:type="dxa"/>
          </w:tcPr>
          <w:p w:rsidR="00E15CB4" w:rsidRDefault="005A6BD7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465,0</w:t>
            </w:r>
          </w:p>
        </w:tc>
        <w:tc>
          <w:tcPr>
            <w:tcW w:w="1383" w:type="dxa"/>
          </w:tcPr>
          <w:p w:rsidR="00E15CB4" w:rsidRDefault="005A6BD7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-3,0%</w:t>
            </w:r>
          </w:p>
        </w:tc>
      </w:tr>
      <w:tr w:rsidR="00E15CB4"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Кредиты и займы, включая обязательства по аренде</w:t>
            </w:r>
          </w:p>
        </w:tc>
        <w:tc>
          <w:tcPr>
            <w:tcW w:w="2551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302,4</w:t>
            </w:r>
          </w:p>
        </w:tc>
        <w:tc>
          <w:tcPr>
            <w:tcW w:w="2410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309,9</w:t>
            </w:r>
          </w:p>
        </w:tc>
        <w:tc>
          <w:tcPr>
            <w:tcW w:w="1383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-2,4%</w:t>
            </w:r>
          </w:p>
        </w:tc>
      </w:tr>
      <w:tr w:rsidR="00E15CB4">
        <w:trPr>
          <w:trHeight w:val="70"/>
        </w:trPr>
        <w:tc>
          <w:tcPr>
            <w:tcW w:w="3227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Чистый долг**</w:t>
            </w:r>
          </w:p>
        </w:tc>
        <w:tc>
          <w:tcPr>
            <w:tcW w:w="2551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-24,1</w:t>
            </w:r>
          </w:p>
        </w:tc>
        <w:tc>
          <w:tcPr>
            <w:tcW w:w="2410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-81,0</w:t>
            </w:r>
          </w:p>
        </w:tc>
        <w:tc>
          <w:tcPr>
            <w:tcW w:w="1383" w:type="dxa"/>
          </w:tcPr>
          <w:p w:rsidR="00E15CB4" w:rsidRDefault="005A6BD7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-70,2%</w:t>
            </w:r>
          </w:p>
        </w:tc>
      </w:tr>
    </w:tbl>
    <w:p w:rsidR="00E15CB4" w:rsidRDefault="005A6BD7">
      <w:pPr>
        <w:spacing w:line="245" w:lineRule="atLeast"/>
        <w:jc w:val="both"/>
        <w:rPr>
          <w:rFonts w:ascii="Tahoma" w:hAnsi="Tahoma" w:cs="Tahoma"/>
          <w:i/>
          <w:iCs/>
        </w:rPr>
      </w:pPr>
      <w:r>
        <w:rPr>
          <w:rFonts w:ascii="Arial" w:eastAsia="Times New Roman" w:hAnsi="Arial" w:cs="Arial"/>
          <w:i/>
          <w:sz w:val="18"/>
          <w:szCs w:val="18"/>
        </w:rPr>
        <w:t xml:space="preserve">* в млрд рублей, если не указано иное. Относительное отклонение (в %) рассчитано исходя из данных бухгалтерской (финансовой) отчётности (в тыс. рублей). </w:t>
      </w:r>
    </w:p>
    <w:p w:rsidR="00E15CB4" w:rsidRDefault="005A6BD7">
      <w:pPr>
        <w:spacing w:before="120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</w:rPr>
      </w:pPr>
      <w:r>
        <w:rPr>
          <w:rFonts w:ascii="Arial" w:eastAsia="Times New Roman" w:hAnsi="Arial" w:cs="Arial"/>
          <w:i/>
          <w:color w:val="000000" w:themeColor="text1"/>
          <w:sz w:val="18"/>
          <w:szCs w:val="18"/>
        </w:rPr>
        <w:t>** Краткосрочные кредиты и займы плюс Долгосрочные кредиты и займы, включая обязательства по аренде, м</w:t>
      </w:r>
      <w:r>
        <w:rPr>
          <w:rFonts w:ascii="Arial" w:eastAsia="Times New Roman" w:hAnsi="Arial" w:cs="Arial"/>
          <w:i/>
          <w:color w:val="000000" w:themeColor="text1"/>
          <w:sz w:val="18"/>
          <w:szCs w:val="18"/>
        </w:rPr>
        <w:t>инус Денежные средства и их эквиваленты минус Краткосрочные финансовые вложения (в объёме денежных средств, размещённых на депозитных счетах, и долговых ценных бумаг).</w:t>
      </w:r>
    </w:p>
    <w:p w:rsidR="00E15CB4" w:rsidRDefault="00E15CB4">
      <w:pPr>
        <w:spacing w:line="245" w:lineRule="atLeast"/>
        <w:jc w:val="both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</w:rPr>
        <w:t>Отчёт о финансовых результатах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Выручка ПАО «Инте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р РАО» за 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  <w:lang w:val="en-US"/>
        </w:rPr>
        <w:t>I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 полугодие 2024 года составила 20,3 млрд рублей, что на 3,8 млрд рублей (23,2%) выше, чем за аналогичный период 2023 года. 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Объём выручки от экспорта электроэнергии составил 12,0 млрд рублей, что на 2,8 млрд рублей (30,9%) выше, чем за аналогичный период 2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023 года. Увеличение экспортной выручки обусловлено прежде всего ростом цены поставок вследствие увеличения доли поставок </w:t>
      </w:r>
      <w:r w:rsidR="001435CB"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в Казахстан</w:t>
      </w:r>
      <w:r w:rsidR="001435CB"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в часы контроля мощности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. 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lastRenderedPageBreak/>
        <w:t>Выручка от реализации электроэнергии и мощности на ОРЭМ увеличилась на 1,0 млрд ру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блей (13,3%) и по итогам отчётного периода составила 8,2 млрд рублей. Рост выручки обусловлен в основном ростом цен продажи электроэнергии в транзитных сечениях. 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Себестоимость составила 16,9 млрд рублей, что на 2,9 млрд рублей (20,8%) выше, чем за аналоги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чный период прошлого года. Совокупный рост затрат обусловлен преимущественно увеличением объёмов экспорта в часы контроля мощности и ростом объ</w:t>
      </w:r>
      <w:r w:rsidR="001435CB">
        <w:rPr>
          <w:rFonts w:ascii="Arial" w:eastAsia="Times New Roman" w:hAnsi="Arial" w:cs="Arial"/>
          <w:color w:val="000000" w:themeColor="text1"/>
          <w:sz w:val="24"/>
          <w:szCs w:val="24"/>
        </w:rPr>
        <w:t>ё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мов перетоков в рамках параллельной работы </w:t>
      </w:r>
      <w:r w:rsidR="001435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с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Казахстан</w:t>
      </w:r>
      <w:r w:rsidR="001435CB">
        <w:rPr>
          <w:rFonts w:ascii="Arial" w:eastAsia="Times New Roman" w:hAnsi="Arial" w:cs="Arial"/>
          <w:color w:val="000000" w:themeColor="text1"/>
          <w:sz w:val="24"/>
          <w:szCs w:val="24"/>
        </w:rPr>
        <w:t>ом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Валовая прибыль составила 3,3 млрд рублей п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ротив 2,5 млрд рублей за аналогичный период прошлого года.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Коммерческие расходы составили 1,8 млрд рублей, что на 0,7 млрд рублей (58,3%) выше, чем за аналогичный период прошлого года. Изменение показателя в основном обусловлено увеличением доли объёмов эк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спорта в часы контроля мощности.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 Управле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нческие расходы увеличились на 0,9 млрд рублей (23,3%) и по итогам отч</w:t>
      </w:r>
      <w:r w:rsidR="001435CB">
        <w:rPr>
          <w:rFonts w:ascii="Arial" w:eastAsia="Times New Roman" w:hAnsi="Arial" w:cs="Arial"/>
          <w:color w:val="000000" w:themeColor="text1"/>
          <w:sz w:val="24"/>
          <w:szCs w:val="24"/>
        </w:rPr>
        <w:t>ё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тного периода составили 4,9 млрд рублей. 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Убыток от продаж за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полугодие 2024 года составил 3,4 млрд рублей против 2,7 млрд рублей убытка за ан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алогичный период 2023 года. При этом стоит отметить положительный финансовый результат от внешнеэкономической деятельности.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Доходы от участия в других организациях по итогам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полугодия 2024 года составили 13,4 млрд рублей, что обусловлено получением дивид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ендных платежей от дочерних обществ. 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highlight w:val="white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Сальдо прочих доходов/расходов (без учёта доходов от участия в других организациях) составило 10,4 млрд рублей против 4,8 млрд рублей за аналогичный период 2023 года. Основное влияние на данный показатель оказало увели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чение депозитного портфеля, а также сохранение ключевой ставки ЦБ РФ на высоком уровне в 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  <w:lang w:val="en-US"/>
        </w:rPr>
        <w:t>I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 xml:space="preserve"> полугодии 2024 года. 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highlight w:val="white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В результате чистая прибыль по итогам отч</w:t>
      </w:r>
      <w:r w:rsidR="001435CB"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ё</w:t>
      </w: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тного периода составила 20,0 млрд рублей против 3,6 млрд рублей за аналогичный период 2023 года</w:t>
      </w:r>
      <w:r>
        <w:rPr>
          <w:rFonts w:ascii="Arial" w:eastAsia="Times New Roman" w:hAnsi="Arial" w:cs="Arial"/>
          <w:color w:val="FF0000"/>
          <w:sz w:val="24"/>
          <w:szCs w:val="24"/>
          <w:highlight w:val="white"/>
        </w:rPr>
        <w:t xml:space="preserve">. </w:t>
      </w:r>
    </w:p>
    <w:p w:rsidR="00E15CB4" w:rsidRDefault="00E15CB4">
      <w:pPr>
        <w:spacing w:before="120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Бухгалтерский баланс 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Совокупные активы ПАО «Интер РАО» по состоянию на 30 июня 2024 года по сравнению с 31 декабря 2023 года незначительно снизились</w:t>
      </w:r>
      <w:r w:rsidR="001435CB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на 6,8 млрд рублей (0,9%)</w:t>
      </w:r>
      <w:r w:rsidR="001435CB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и составили 783,4 млрд рублей.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Внеоборотные активы увеличились на 57,7 млрд рубл</w:t>
      </w:r>
      <w:r>
        <w:rPr>
          <w:rFonts w:ascii="Arial" w:eastAsia="Times New Roman" w:hAnsi="Arial" w:cs="Arial"/>
          <w:sz w:val="24"/>
          <w:szCs w:val="24"/>
        </w:rPr>
        <w:t>ей (15,3%) и по итогам отч</w:t>
      </w:r>
      <w:r w:rsidR="001435CB">
        <w:rPr>
          <w:rFonts w:ascii="Arial" w:eastAsia="Times New Roman" w:hAnsi="Arial" w:cs="Arial"/>
          <w:sz w:val="24"/>
          <w:szCs w:val="24"/>
        </w:rPr>
        <w:t>ё</w:t>
      </w:r>
      <w:r>
        <w:rPr>
          <w:rFonts w:ascii="Arial" w:eastAsia="Times New Roman" w:hAnsi="Arial" w:cs="Arial"/>
          <w:sz w:val="24"/>
          <w:szCs w:val="24"/>
        </w:rPr>
        <w:t>тного периода составили 434,6 млрд рублей в основном ввиду увеличения долгосрочных финансовых вложений.</w:t>
      </w:r>
    </w:p>
    <w:p w:rsidR="00E15CB4" w:rsidRDefault="005A6BD7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Оборотные активы снизились на 64,5 млрд рублей (15,6%) и на 30 июня 2024 года составили 348,8 млрд рублей. Изменение преимуще</w:t>
      </w:r>
      <w:r>
        <w:rPr>
          <w:rFonts w:ascii="Arial" w:eastAsia="Times New Roman" w:hAnsi="Arial" w:cs="Arial"/>
          <w:sz w:val="24"/>
          <w:szCs w:val="24"/>
        </w:rPr>
        <w:t>ственно обусловлено уменьшением денежных средств и эквивалентов.</w:t>
      </w:r>
    </w:p>
    <w:p w:rsidR="00E15CB4" w:rsidRDefault="005A6BD7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Долговая нагрузка незначительно снизилась на 7,5 млрд рублей (2,4%) и на конец отчётного периода составила 302,4 млрд рублей. </w:t>
      </w:r>
    </w:p>
    <w:p w:rsidR="00E15CB4" w:rsidRDefault="005A6BD7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 долгосрочных и краткосрочных заёмных средствах отражены обязат</w:t>
      </w:r>
      <w:r>
        <w:rPr>
          <w:rFonts w:ascii="Arial" w:eastAsia="Times New Roman" w:hAnsi="Arial" w:cs="Arial"/>
          <w:sz w:val="24"/>
          <w:szCs w:val="24"/>
        </w:rPr>
        <w:t>ельства по аренде с учётом применения стандарта ФСБУ 25/2018.</w:t>
      </w:r>
    </w:p>
    <w:p w:rsidR="00E15CB4" w:rsidRDefault="005A6BD7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Чистый долг ПАО «Интер РАО» на 30 июня 2024 года составил минус 24,1 млрд рублей против минус 81,0 млрд рублей на начало года. </w:t>
      </w:r>
    </w:p>
    <w:p w:rsidR="00E15CB4" w:rsidRDefault="005A6BD7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Суммарный объём обязательств (за исключением полученных займов/кре</w:t>
      </w:r>
      <w:r>
        <w:rPr>
          <w:rFonts w:ascii="Arial" w:eastAsia="Times New Roman" w:hAnsi="Arial" w:cs="Arial"/>
          <w:sz w:val="24"/>
          <w:szCs w:val="24"/>
        </w:rPr>
        <w:t xml:space="preserve">дитов, включая обязательства по аренде) по сравнению с началом года увеличился на 14,6 млрд рублей (95,5%) на 30 июня 2024 года составил 29,9 млрд рублей. </w:t>
      </w:r>
    </w:p>
    <w:p w:rsidR="00E15CB4" w:rsidRDefault="00E15CB4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E15CB4" w:rsidRDefault="005A6BD7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>#</w:t>
      </w:r>
      <w:r>
        <w:rPr>
          <w:rFonts w:ascii="Tahoma" w:hAnsi="Tahoma" w:cs="Tahoma"/>
          <w:sz w:val="17"/>
          <w:szCs w:val="17"/>
        </w:rPr>
        <w:tab/>
        <w:t>#</w:t>
      </w:r>
      <w:r>
        <w:rPr>
          <w:rFonts w:ascii="Tahoma" w:hAnsi="Tahoma" w:cs="Tahoma"/>
          <w:sz w:val="17"/>
          <w:szCs w:val="17"/>
        </w:rPr>
        <w:tab/>
        <w:t>#</w:t>
      </w:r>
    </w:p>
    <w:p w:rsidR="00E15CB4" w:rsidRDefault="005A6BD7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>Группа «Интер РАО»</w:t>
      </w:r>
      <w:r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</w:t>
      </w:r>
      <w:r>
        <w:rPr>
          <w:rFonts w:ascii="Tahoma" w:hAnsi="Tahoma" w:cs="Tahoma"/>
          <w:sz w:val="17"/>
          <w:szCs w:val="17"/>
        </w:rPr>
        <w:t xml:space="preserve"> состав которого входят предприятия следующих сегментов: генерация электрической и тепловой энергии, </w:t>
      </w:r>
      <w:proofErr w:type="spellStart"/>
      <w:r>
        <w:rPr>
          <w:rFonts w:ascii="Tahoma" w:hAnsi="Tahoma" w:cs="Tahoma"/>
          <w:sz w:val="17"/>
          <w:szCs w:val="17"/>
        </w:rPr>
        <w:t>энерготрейдинг</w:t>
      </w:r>
      <w:proofErr w:type="spellEnd"/>
      <w:r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</w:t>
      </w:r>
      <w:r w:rsidR="001435CB">
        <w:rPr>
          <w:rFonts w:ascii="Tahoma" w:hAnsi="Tahoma" w:cs="Tahoma"/>
          <w:sz w:val="17"/>
          <w:szCs w:val="17"/>
        </w:rPr>
        <w:t xml:space="preserve"> и энергетическое строительство</w:t>
      </w:r>
      <w:bookmarkStart w:id="1" w:name="_GoBack"/>
      <w:bookmarkEnd w:id="1"/>
      <w:r>
        <w:rPr>
          <w:rFonts w:ascii="Tahoma" w:hAnsi="Tahoma" w:cs="Tahoma"/>
          <w:sz w:val="17"/>
          <w:szCs w:val="17"/>
        </w:rPr>
        <w:t>, отраслевые информационные технологии и др.</w:t>
      </w:r>
      <w:bookmarkEnd w:id="0"/>
    </w:p>
    <w:sectPr w:rsidR="00E15CB4">
      <w:footerReference w:type="default" r:id="rId18"/>
      <w:footerReference w:type="first" r:id="rId19"/>
      <w:pgSz w:w="11906" w:h="16838"/>
      <w:pgMar w:top="567" w:right="545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BD7" w:rsidRDefault="005A6BD7">
      <w:r>
        <w:separator/>
      </w:r>
    </w:p>
  </w:endnote>
  <w:endnote w:type="continuationSeparator" w:id="0">
    <w:p w:rsidR="005A6BD7" w:rsidRDefault="005A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CB4" w:rsidRDefault="00E15CB4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15CB4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15CB4" w:rsidRDefault="005A6BD7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 информационной политики ПАО «Интер РАО»</w:t>
          </w:r>
        </w:p>
        <w:p w:rsidR="00E15CB4" w:rsidRDefault="005A6BD7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15CB4" w:rsidRDefault="00E15CB4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CB4" w:rsidRDefault="00E15CB4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15CB4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15CB4" w:rsidRDefault="005A6BD7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E15CB4" w:rsidRDefault="005A6BD7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E15CB4" w:rsidRDefault="00E15CB4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BD7" w:rsidRDefault="005A6BD7">
      <w:r>
        <w:separator/>
      </w:r>
    </w:p>
  </w:footnote>
  <w:footnote w:type="continuationSeparator" w:id="0">
    <w:p w:rsidR="005A6BD7" w:rsidRDefault="005A6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62F8"/>
    <w:multiLevelType w:val="hybridMultilevel"/>
    <w:tmpl w:val="436A8BDE"/>
    <w:lvl w:ilvl="0" w:tplc="61D6C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E04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2A7F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46B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28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8A09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06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A7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4A6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A6CA0"/>
    <w:multiLevelType w:val="hybridMultilevel"/>
    <w:tmpl w:val="22300DD4"/>
    <w:lvl w:ilvl="0" w:tplc="C25A8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006417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ECE73D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CE6F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BD0961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62EC8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74848A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F32C82A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AD6A26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5274D0"/>
    <w:multiLevelType w:val="hybridMultilevel"/>
    <w:tmpl w:val="67327332"/>
    <w:lvl w:ilvl="0" w:tplc="D9820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6A44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BC08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EA927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4CB49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E27C7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C492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CA30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96ADD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9CA4615"/>
    <w:multiLevelType w:val="hybridMultilevel"/>
    <w:tmpl w:val="B29816AE"/>
    <w:lvl w:ilvl="0" w:tplc="5A668ED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928FF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FEA3C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74463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F16B1D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840E5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D94B77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D9E0CD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AE26A4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CC6D22"/>
    <w:multiLevelType w:val="hybridMultilevel"/>
    <w:tmpl w:val="E14A97F6"/>
    <w:lvl w:ilvl="0" w:tplc="58B22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9003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216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4A4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0B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763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4CC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A040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36A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22218"/>
    <w:multiLevelType w:val="hybridMultilevel"/>
    <w:tmpl w:val="5BD434B2"/>
    <w:lvl w:ilvl="0" w:tplc="22068A42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A0BCD70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C321C2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438D49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AF4284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7742A8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A37D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FA15B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84469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FD86B71"/>
    <w:multiLevelType w:val="hybridMultilevel"/>
    <w:tmpl w:val="21FE895A"/>
    <w:lvl w:ilvl="0" w:tplc="B6F8C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7C06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9A88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9416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3E20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41FC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E46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0208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1088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611A8E"/>
    <w:multiLevelType w:val="hybridMultilevel"/>
    <w:tmpl w:val="0520F812"/>
    <w:lvl w:ilvl="0" w:tplc="69CC4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B611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B4D5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AB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7428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80E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1431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E401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F6D6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B2CB0"/>
    <w:multiLevelType w:val="hybridMultilevel"/>
    <w:tmpl w:val="205A64F8"/>
    <w:lvl w:ilvl="0" w:tplc="13088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5A7F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5C68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0CD0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B4DA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1094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B618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C7E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F2A7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D3600"/>
    <w:multiLevelType w:val="hybridMultilevel"/>
    <w:tmpl w:val="9C9A2BEA"/>
    <w:lvl w:ilvl="0" w:tplc="F8404C4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B880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20FF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839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F87B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89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0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691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E4A7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B3BCA"/>
    <w:multiLevelType w:val="hybridMultilevel"/>
    <w:tmpl w:val="E5384542"/>
    <w:lvl w:ilvl="0" w:tplc="67489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C2D5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404AC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E27C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425E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E60F3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7222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00453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5AC9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C834B9"/>
    <w:multiLevelType w:val="hybridMultilevel"/>
    <w:tmpl w:val="C68C9CA2"/>
    <w:lvl w:ilvl="0" w:tplc="9C0C07B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3D3EDA6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7E01CEE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DC4BC78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A4A9CA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AAC808A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0E4D182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1BCB2B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5AAABC0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4BF513A"/>
    <w:multiLevelType w:val="hybridMultilevel"/>
    <w:tmpl w:val="A46683CE"/>
    <w:lvl w:ilvl="0" w:tplc="E0C6AF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44057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60D2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FE40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E0EA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FAFA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6639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276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423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A3827"/>
    <w:multiLevelType w:val="hybridMultilevel"/>
    <w:tmpl w:val="E6B44F0C"/>
    <w:lvl w:ilvl="0" w:tplc="E2883D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172D1E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ECB1B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816B64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D1CE4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E16867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D7EA58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364C6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2FCBC9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DA7654"/>
    <w:multiLevelType w:val="hybridMultilevel"/>
    <w:tmpl w:val="A5A8A6EE"/>
    <w:lvl w:ilvl="0" w:tplc="81F65AFA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8C54D66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DD635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B68E23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07228C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F6CB3D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114AC2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B7221A8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724D01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42153E"/>
    <w:multiLevelType w:val="hybridMultilevel"/>
    <w:tmpl w:val="21D2E55E"/>
    <w:lvl w:ilvl="0" w:tplc="E2E4E1BA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60B6AA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06C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1CC6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0868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22F0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4A37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869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2005B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415AE5"/>
    <w:multiLevelType w:val="hybridMultilevel"/>
    <w:tmpl w:val="AD46EBE2"/>
    <w:lvl w:ilvl="0" w:tplc="DE7AA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4002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2E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C52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9A67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146B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68D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0AC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F48A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D3E7A"/>
    <w:multiLevelType w:val="hybridMultilevel"/>
    <w:tmpl w:val="03449B0E"/>
    <w:lvl w:ilvl="0" w:tplc="F828E3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C8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7AB9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9631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E4A5E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8C17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2E05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72EC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0C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792016"/>
    <w:multiLevelType w:val="hybridMultilevel"/>
    <w:tmpl w:val="4C9C950A"/>
    <w:lvl w:ilvl="0" w:tplc="245AFA6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AC54BAC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536308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7AA4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C4B74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28320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36CDFD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22E7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FB0914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3133E71"/>
    <w:multiLevelType w:val="hybridMultilevel"/>
    <w:tmpl w:val="64DCBD8A"/>
    <w:lvl w:ilvl="0" w:tplc="11BC98FA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1FBE461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97C114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E542CE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2161BB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EAE97A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B24711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0C4571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17E27B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4DC4223"/>
    <w:multiLevelType w:val="hybridMultilevel"/>
    <w:tmpl w:val="DEE6A6CE"/>
    <w:lvl w:ilvl="0" w:tplc="C1F206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50B754">
      <w:start w:val="1"/>
      <w:numFmt w:val="lowerLetter"/>
      <w:lvlText w:val="%2."/>
      <w:lvlJc w:val="left"/>
      <w:pPr>
        <w:ind w:left="1440" w:hanging="360"/>
      </w:pPr>
    </w:lvl>
    <w:lvl w:ilvl="2" w:tplc="BE425A80">
      <w:start w:val="1"/>
      <w:numFmt w:val="lowerRoman"/>
      <w:lvlText w:val="%3."/>
      <w:lvlJc w:val="right"/>
      <w:pPr>
        <w:ind w:left="2160" w:hanging="180"/>
      </w:pPr>
    </w:lvl>
    <w:lvl w:ilvl="3" w:tplc="568E1FE4">
      <w:start w:val="1"/>
      <w:numFmt w:val="decimal"/>
      <w:lvlText w:val="%4."/>
      <w:lvlJc w:val="left"/>
      <w:pPr>
        <w:ind w:left="2880" w:hanging="360"/>
      </w:pPr>
    </w:lvl>
    <w:lvl w:ilvl="4" w:tplc="D2CC9DA4">
      <w:start w:val="1"/>
      <w:numFmt w:val="lowerLetter"/>
      <w:lvlText w:val="%5."/>
      <w:lvlJc w:val="left"/>
      <w:pPr>
        <w:ind w:left="3600" w:hanging="360"/>
      </w:pPr>
    </w:lvl>
    <w:lvl w:ilvl="5" w:tplc="3112CAD0">
      <w:start w:val="1"/>
      <w:numFmt w:val="lowerRoman"/>
      <w:lvlText w:val="%6."/>
      <w:lvlJc w:val="right"/>
      <w:pPr>
        <w:ind w:left="4320" w:hanging="180"/>
      </w:pPr>
    </w:lvl>
    <w:lvl w:ilvl="6" w:tplc="2FEAAEE8">
      <w:start w:val="1"/>
      <w:numFmt w:val="decimal"/>
      <w:lvlText w:val="%7."/>
      <w:lvlJc w:val="left"/>
      <w:pPr>
        <w:ind w:left="5040" w:hanging="360"/>
      </w:pPr>
    </w:lvl>
    <w:lvl w:ilvl="7" w:tplc="6ED6A7B0">
      <w:start w:val="1"/>
      <w:numFmt w:val="lowerLetter"/>
      <w:lvlText w:val="%8."/>
      <w:lvlJc w:val="left"/>
      <w:pPr>
        <w:ind w:left="5760" w:hanging="360"/>
      </w:pPr>
    </w:lvl>
    <w:lvl w:ilvl="8" w:tplc="842E6A5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60C33"/>
    <w:multiLevelType w:val="hybridMultilevel"/>
    <w:tmpl w:val="57AE3AA4"/>
    <w:lvl w:ilvl="0" w:tplc="137A942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C23ACE66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C4347FBA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994460F8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67025394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C0E236C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F4888C8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226BA0C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DA824046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 w15:restartNumberingAfterBreak="0">
    <w:nsid w:val="5E715CF9"/>
    <w:multiLevelType w:val="hybridMultilevel"/>
    <w:tmpl w:val="E80256A4"/>
    <w:lvl w:ilvl="0" w:tplc="5114061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7EEDD6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93EFD6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BFC1D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130ED0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4A1C9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F6DD7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0DC172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4846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EF19F3"/>
    <w:multiLevelType w:val="hybridMultilevel"/>
    <w:tmpl w:val="4970C592"/>
    <w:lvl w:ilvl="0" w:tplc="1A1AA41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DD7C7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4BA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941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464E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4659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8404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A90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7CCA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1E6F32"/>
    <w:multiLevelType w:val="hybridMultilevel"/>
    <w:tmpl w:val="2CB6ACAC"/>
    <w:lvl w:ilvl="0" w:tplc="D0783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9CB4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8E1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E824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0666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D69A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4AF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AF0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16F8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C7018E"/>
    <w:multiLevelType w:val="hybridMultilevel"/>
    <w:tmpl w:val="BE148EC6"/>
    <w:lvl w:ilvl="0" w:tplc="D4DEDC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0C07D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927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E07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8A9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6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80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DCD2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4E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0367EA"/>
    <w:multiLevelType w:val="hybridMultilevel"/>
    <w:tmpl w:val="9AF060F4"/>
    <w:lvl w:ilvl="0" w:tplc="0666DAD2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68EDA7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1CCC2EAC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229E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EA66D262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76681164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AE32241C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A8868A40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ED636D6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79157028"/>
    <w:multiLevelType w:val="hybridMultilevel"/>
    <w:tmpl w:val="031824BA"/>
    <w:lvl w:ilvl="0" w:tplc="6BE238F2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F0F804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9865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A0D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20D1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8A4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5CC7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CA6D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284E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9F0BAB"/>
    <w:multiLevelType w:val="hybridMultilevel"/>
    <w:tmpl w:val="A5F2B0C8"/>
    <w:lvl w:ilvl="0" w:tplc="7AC076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94E386">
      <w:start w:val="1"/>
      <w:numFmt w:val="lowerLetter"/>
      <w:lvlText w:val="%2."/>
      <w:lvlJc w:val="left"/>
      <w:pPr>
        <w:ind w:left="1440" w:hanging="360"/>
      </w:pPr>
    </w:lvl>
    <w:lvl w:ilvl="2" w:tplc="0BF65F00">
      <w:start w:val="1"/>
      <w:numFmt w:val="lowerRoman"/>
      <w:lvlText w:val="%3."/>
      <w:lvlJc w:val="right"/>
      <w:pPr>
        <w:ind w:left="2160" w:hanging="180"/>
      </w:pPr>
    </w:lvl>
    <w:lvl w:ilvl="3" w:tplc="1E0E6E16">
      <w:start w:val="1"/>
      <w:numFmt w:val="decimal"/>
      <w:lvlText w:val="%4."/>
      <w:lvlJc w:val="left"/>
      <w:pPr>
        <w:ind w:left="2880" w:hanging="360"/>
      </w:pPr>
    </w:lvl>
    <w:lvl w:ilvl="4" w:tplc="BCDAAB46">
      <w:start w:val="1"/>
      <w:numFmt w:val="lowerLetter"/>
      <w:lvlText w:val="%5."/>
      <w:lvlJc w:val="left"/>
      <w:pPr>
        <w:ind w:left="3600" w:hanging="360"/>
      </w:pPr>
    </w:lvl>
    <w:lvl w:ilvl="5" w:tplc="190C1F4A">
      <w:start w:val="1"/>
      <w:numFmt w:val="lowerRoman"/>
      <w:lvlText w:val="%6."/>
      <w:lvlJc w:val="right"/>
      <w:pPr>
        <w:ind w:left="4320" w:hanging="180"/>
      </w:pPr>
    </w:lvl>
    <w:lvl w:ilvl="6" w:tplc="DB025CD6">
      <w:start w:val="1"/>
      <w:numFmt w:val="decimal"/>
      <w:lvlText w:val="%7."/>
      <w:lvlJc w:val="left"/>
      <w:pPr>
        <w:ind w:left="5040" w:hanging="360"/>
      </w:pPr>
    </w:lvl>
    <w:lvl w:ilvl="7" w:tplc="18EA16C6">
      <w:start w:val="1"/>
      <w:numFmt w:val="lowerLetter"/>
      <w:lvlText w:val="%8."/>
      <w:lvlJc w:val="left"/>
      <w:pPr>
        <w:ind w:left="5760" w:hanging="360"/>
      </w:pPr>
    </w:lvl>
    <w:lvl w:ilvl="8" w:tplc="104A5F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24"/>
  </w:num>
  <w:num w:numId="8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3"/>
  </w:num>
  <w:num w:numId="13">
    <w:abstractNumId w:val="26"/>
  </w:num>
  <w:num w:numId="14">
    <w:abstractNumId w:val="15"/>
  </w:num>
  <w:num w:numId="15">
    <w:abstractNumId w:val="17"/>
  </w:num>
  <w:num w:numId="16">
    <w:abstractNumId w:val="28"/>
  </w:num>
  <w:num w:numId="17">
    <w:abstractNumId w:val="20"/>
  </w:num>
  <w:num w:numId="18">
    <w:abstractNumId w:val="25"/>
  </w:num>
  <w:num w:numId="19">
    <w:abstractNumId w:val="13"/>
  </w:num>
  <w:num w:numId="20">
    <w:abstractNumId w:val="19"/>
  </w:num>
  <w:num w:numId="21">
    <w:abstractNumId w:val="14"/>
  </w:num>
  <w:num w:numId="22">
    <w:abstractNumId w:val="18"/>
  </w:num>
  <w:num w:numId="23">
    <w:abstractNumId w:val="16"/>
  </w:num>
  <w:num w:numId="24">
    <w:abstractNumId w:val="4"/>
  </w:num>
  <w:num w:numId="25">
    <w:abstractNumId w:val="22"/>
  </w:num>
  <w:num w:numId="26">
    <w:abstractNumId w:val="3"/>
  </w:num>
  <w:num w:numId="27">
    <w:abstractNumId w:val="10"/>
  </w:num>
  <w:num w:numId="28">
    <w:abstractNumId w:val="0"/>
  </w:num>
  <w:num w:numId="29">
    <w:abstractNumId w:val="21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CB4"/>
    <w:rsid w:val="001435CB"/>
    <w:rsid w:val="005A6BD7"/>
    <w:rsid w:val="00E1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C1E8C"/>
  <w15:docId w15:val="{6164E400-453D-4E27-92D0-6B0F7CAC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10.jpg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6.xml><?xml version="1.0" encoding="utf-8"?>
<ds:datastoreItem xmlns:ds="http://schemas.openxmlformats.org/officeDocument/2006/customXml" ds:itemID="{2A350499-F012-4C5B-84C8-06F35506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745</Words>
  <Characters>4253</Characters>
  <Application>Microsoft Office Word</Application>
  <DocSecurity>0</DocSecurity>
  <Lines>35</Lines>
  <Paragraphs>9</Paragraphs>
  <ScaleCrop>false</ScaleCrop>
  <Company>Inter RAO UES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Горелов Николай Вячеславович</cp:lastModifiedBy>
  <cp:revision>2</cp:revision>
  <dcterms:created xsi:type="dcterms:W3CDTF">2024-07-24T15:56:00Z</dcterms:created>
  <dcterms:modified xsi:type="dcterms:W3CDTF">2024-07-24T15:56:00Z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