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0F7E7E3D" wp14:editId="02BDB1B9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41F2C" w:rsidRDefault="00E41F2C" w:rsidP="00E41F2C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апреля 2024, Москва</w:t>
      </w:r>
    </w:p>
    <w:p w:rsidR="002D3C69" w:rsidRDefault="002D3C69" w:rsidP="002D3C69">
      <w:pPr>
        <w:spacing w:before="100" w:beforeAutospacing="1" w:after="100" w:afterAutospacing="1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Гарантирующие поставщики Группы «Интер РАО» опубликовали бухгалтерскую отчётность по РСБУ за I квартал 2024 года</w:t>
      </w:r>
    </w:p>
    <w:p w:rsidR="002D3C69" w:rsidRDefault="002D3C69" w:rsidP="002D3C69">
      <w:pPr>
        <w:spacing w:before="100" w:beforeAutospacing="1" w:after="100" w:afterAutospacing="1"/>
        <w:jc w:val="both"/>
        <w:outlineLvl w:val="1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*Отчётность представлена по следующим сбытовым компаниям – гарантирующим поставщикам: АО «Мосэнергосбыт» (МЭС), АО «Петербургская сбытовая компания» (ПСК), ПАО «Саратовэнерго», АО «</w:t>
      </w:r>
      <w:proofErr w:type="spellStart"/>
      <w:r>
        <w:rPr>
          <w:rFonts w:ascii="Arial" w:hAnsi="Arial" w:cs="Arial"/>
          <w:i/>
          <w:sz w:val="18"/>
        </w:rPr>
        <w:t>Алтайэнергосбыт</w:t>
      </w:r>
      <w:proofErr w:type="spellEnd"/>
      <w:r>
        <w:rPr>
          <w:rFonts w:ascii="Arial" w:hAnsi="Arial" w:cs="Arial"/>
          <w:i/>
          <w:sz w:val="18"/>
        </w:rPr>
        <w:t>», АО «</w:t>
      </w:r>
      <w:proofErr w:type="spellStart"/>
      <w:r>
        <w:rPr>
          <w:rFonts w:ascii="Arial" w:hAnsi="Arial" w:cs="Arial"/>
          <w:i/>
          <w:sz w:val="18"/>
        </w:rPr>
        <w:t>Томскэнергосбыт</w:t>
      </w:r>
      <w:proofErr w:type="spellEnd"/>
      <w:r>
        <w:rPr>
          <w:rFonts w:ascii="Arial" w:hAnsi="Arial" w:cs="Arial"/>
          <w:i/>
          <w:sz w:val="18"/>
        </w:rPr>
        <w:t>» (Томская ЭСК), ПАО «Тамбовская энергосбытовая компания» (Тамбовская ЭСК), ООО «ЭСКБ» (</w:t>
      </w:r>
      <w:proofErr w:type="spellStart"/>
      <w:r>
        <w:rPr>
          <w:rFonts w:ascii="Arial" w:hAnsi="Arial" w:cs="Arial"/>
          <w:i/>
          <w:sz w:val="18"/>
        </w:rPr>
        <w:t>Башэлектросбыт</w:t>
      </w:r>
      <w:proofErr w:type="spellEnd"/>
      <w:r>
        <w:rPr>
          <w:rFonts w:ascii="Arial" w:hAnsi="Arial" w:cs="Arial"/>
          <w:i/>
          <w:sz w:val="18"/>
        </w:rPr>
        <w:t>), ООО «ЭСВ» (ЭСВ), ООО «ССК» (ССК)</w:t>
      </w:r>
    </w:p>
    <w:p w:rsidR="002D3C69" w:rsidRDefault="002D3C69" w:rsidP="002D3C69">
      <w:pPr>
        <w:jc w:val="both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</w:rPr>
        <w:t xml:space="preserve">Основные факторы, определяющие динамику операционно-финансовых </w:t>
      </w:r>
      <w:r>
        <w:rPr>
          <w:rFonts w:ascii="Arial" w:hAnsi="Arial" w:cs="Arial"/>
          <w:b/>
          <w:sz w:val="24"/>
          <w:szCs w:val="24"/>
          <w:highlight w:val="white"/>
        </w:rPr>
        <w:t>показателей гарантирующих поставщиков Группы «Интер РАО»:</w:t>
      </w:r>
    </w:p>
    <w:p w:rsidR="002D3C69" w:rsidRDefault="002D3C69" w:rsidP="002D3C69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</w:rPr>
      </w:pPr>
      <w:proofErr w:type="spellStart"/>
      <w:r>
        <w:rPr>
          <w:rFonts w:ascii="Arial" w:eastAsia="Calibri" w:hAnsi="Arial" w:cs="Arial"/>
          <w:highlight w:val="white"/>
        </w:rPr>
        <w:t>Увеличение</w:t>
      </w:r>
      <w:proofErr w:type="spellEnd"/>
      <w:r>
        <w:rPr>
          <w:rFonts w:ascii="Arial" w:eastAsia="Calibri" w:hAnsi="Arial" w:cs="Arial"/>
          <w:highlight w:val="white"/>
        </w:rPr>
        <w:t xml:space="preserve"> </w:t>
      </w:r>
      <w:proofErr w:type="spellStart"/>
      <w:r>
        <w:rPr>
          <w:rFonts w:ascii="Arial" w:eastAsia="Calibri" w:hAnsi="Arial" w:cs="Arial"/>
          <w:highlight w:val="white"/>
        </w:rPr>
        <w:t>клиентской</w:t>
      </w:r>
      <w:proofErr w:type="spellEnd"/>
      <w:r>
        <w:rPr>
          <w:rFonts w:ascii="Arial" w:eastAsia="Calibri" w:hAnsi="Arial" w:cs="Arial"/>
          <w:highlight w:val="white"/>
        </w:rPr>
        <w:t xml:space="preserve"> </w:t>
      </w:r>
      <w:proofErr w:type="spellStart"/>
      <w:r>
        <w:rPr>
          <w:rFonts w:ascii="Arial" w:eastAsia="Calibri" w:hAnsi="Arial" w:cs="Arial"/>
          <w:highlight w:val="white"/>
        </w:rPr>
        <w:t>базы</w:t>
      </w:r>
      <w:proofErr w:type="spellEnd"/>
      <w:r>
        <w:rPr>
          <w:rFonts w:ascii="Arial" w:eastAsia="Calibri" w:hAnsi="Arial" w:cs="Arial"/>
          <w:highlight w:val="white"/>
        </w:rPr>
        <w:t>;</w:t>
      </w:r>
    </w:p>
    <w:p w:rsidR="002D3C69" w:rsidRPr="002D3C69" w:rsidRDefault="002D3C69" w:rsidP="002D3C69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 w:rsidRPr="002D3C69">
        <w:rPr>
          <w:rFonts w:ascii="Arial" w:eastAsia="Calibri" w:hAnsi="Arial" w:cs="Arial"/>
          <w:highlight w:val="white"/>
          <w:lang w:val="ru-RU"/>
        </w:rPr>
        <w:t xml:space="preserve">Рост </w:t>
      </w:r>
      <w:proofErr w:type="spellStart"/>
      <w:r w:rsidRPr="002D3C69">
        <w:rPr>
          <w:rFonts w:ascii="Arial" w:eastAsia="Calibri" w:hAnsi="Arial" w:cs="Arial"/>
          <w:highlight w:val="white"/>
          <w:lang w:val="ru-RU"/>
        </w:rPr>
        <w:t>среднеотпускных</w:t>
      </w:r>
      <w:proofErr w:type="spellEnd"/>
      <w:r w:rsidRPr="002D3C69">
        <w:rPr>
          <w:rFonts w:ascii="Arial" w:eastAsia="Calibri" w:hAnsi="Arial" w:cs="Arial"/>
          <w:highlight w:val="white"/>
          <w:lang w:val="ru-RU"/>
        </w:rPr>
        <w:t xml:space="preserve"> цен вследствие индексации тарифов по решению регулирующих органов;</w:t>
      </w:r>
    </w:p>
    <w:p w:rsidR="002D3C69" w:rsidRPr="002D3C69" w:rsidRDefault="002D3C69" w:rsidP="002D3C69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 w:rsidRPr="002D3C69">
        <w:rPr>
          <w:rFonts w:ascii="Arial" w:eastAsia="Calibri" w:hAnsi="Arial" w:cs="Arial"/>
          <w:highlight w:val="white"/>
          <w:lang w:val="ru-RU"/>
        </w:rPr>
        <w:t xml:space="preserve">Влияние температурного фактора </w:t>
      </w:r>
      <w:r w:rsidRPr="002D3C69">
        <w:rPr>
          <w:rFonts w:ascii="Arial" w:eastAsia="Calibri" w:hAnsi="Arial" w:cs="Arial"/>
          <w:sz w:val="24"/>
          <w:highlight w:val="white"/>
          <w:lang w:val="ru-RU"/>
        </w:rPr>
        <w:t xml:space="preserve">(в </w:t>
      </w:r>
      <w:r w:rsidRPr="00B60D5C">
        <w:rPr>
          <w:rFonts w:ascii="Arial" w:eastAsia="Calibri" w:hAnsi="Arial" w:cs="Arial"/>
          <w:sz w:val="24"/>
          <w:szCs w:val="24"/>
          <w:highlight w:val="white"/>
        </w:rPr>
        <w:t>I</w:t>
      </w:r>
      <w:r w:rsidRPr="002D3C69">
        <w:rPr>
          <w:rFonts w:ascii="Arial" w:eastAsia="Calibri" w:hAnsi="Arial" w:cs="Arial"/>
          <w:sz w:val="24"/>
          <w:highlight w:val="white"/>
          <w:lang w:val="ru-RU"/>
        </w:rPr>
        <w:t xml:space="preserve"> квартале 2024 года температура окружающего воздуха в целом по ЕЭС России была ниже -1,5</w:t>
      </w:r>
      <w:r w:rsidRPr="002D3C69">
        <w:rPr>
          <w:rFonts w:ascii="Arial" w:eastAsia="Calibri" w:hAnsi="Arial" w:cs="Arial"/>
          <w:highlight w:val="white"/>
          <w:lang w:val="ru-RU"/>
        </w:rPr>
        <w:t xml:space="preserve">°С </w:t>
      </w:r>
      <w:r w:rsidRPr="002D3C69">
        <w:rPr>
          <w:rFonts w:ascii="Arial" w:eastAsia="Calibri" w:hAnsi="Arial" w:cs="Arial"/>
          <w:sz w:val="24"/>
          <w:highlight w:val="white"/>
          <w:lang w:val="ru-RU"/>
        </w:rPr>
        <w:t xml:space="preserve">по сравнению с </w:t>
      </w:r>
      <w:r>
        <w:rPr>
          <w:rFonts w:ascii="Arial" w:eastAsia="Calibri" w:hAnsi="Arial" w:cs="Arial"/>
          <w:highlight w:val="white"/>
        </w:rPr>
        <w:t>I</w:t>
      </w:r>
      <w:r w:rsidRPr="002D3C69">
        <w:rPr>
          <w:rFonts w:ascii="Arial" w:eastAsia="Calibri" w:hAnsi="Arial" w:cs="Arial"/>
          <w:sz w:val="24"/>
          <w:highlight w:val="white"/>
          <w:lang w:val="ru-RU"/>
        </w:rPr>
        <w:t xml:space="preserve"> кварталом 2023 года</w:t>
      </w:r>
      <w:r w:rsidRPr="002D3C69">
        <w:rPr>
          <w:rFonts w:ascii="Arial" w:eastAsia="Calibri" w:hAnsi="Arial" w:cs="Arial"/>
          <w:highlight w:val="white"/>
          <w:lang w:val="ru-RU"/>
        </w:rPr>
        <w:t>);</w:t>
      </w:r>
    </w:p>
    <w:p w:rsidR="002D3C69" w:rsidRPr="002D3C69" w:rsidRDefault="002D3C69" w:rsidP="002D3C69">
      <w:pPr>
        <w:pStyle w:val="aff6"/>
        <w:numPr>
          <w:ilvl w:val="0"/>
          <w:numId w:val="31"/>
        </w:numPr>
        <w:tabs>
          <w:tab w:val="left" w:pos="1134"/>
          <w:tab w:val="left" w:pos="1701"/>
        </w:tabs>
        <w:spacing w:before="100" w:beforeAutospacing="1" w:after="100" w:afterAutospacing="1" w:line="288" w:lineRule="auto"/>
        <w:ind w:left="1134" w:hanging="436"/>
        <w:jc w:val="both"/>
        <w:rPr>
          <w:rFonts w:ascii="Arial" w:eastAsia="Calibri" w:hAnsi="Arial" w:cs="Arial"/>
          <w:highlight w:val="white"/>
          <w:lang w:val="ru-RU"/>
        </w:rPr>
      </w:pPr>
      <w:r w:rsidRPr="002D3C69">
        <w:rPr>
          <w:rFonts w:ascii="Arial" w:eastAsia="Calibri" w:hAnsi="Arial" w:cs="Arial"/>
          <w:highlight w:val="white"/>
          <w:lang w:val="ru-RU"/>
        </w:rPr>
        <w:t>Увеличение стоимости услуг сетевых компаний в связи с ростом полезного отпуска.</w:t>
      </w:r>
    </w:p>
    <w:p w:rsidR="002D3C69" w:rsidRDefault="002D3C69" w:rsidP="002D3C69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2D3C69" w:rsidRDefault="002D3C69" w:rsidP="002D3C6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гарантирующих поставщиков: </w:t>
      </w:r>
    </w:p>
    <w:tbl>
      <w:tblPr>
        <w:tblW w:w="9537" w:type="dxa"/>
        <w:tblLayout w:type="fixed"/>
        <w:tblLook w:val="04A0" w:firstRow="1" w:lastRow="0" w:firstColumn="1" w:lastColumn="0" w:noHBand="0" w:noVBand="1"/>
      </w:tblPr>
      <w:tblGrid>
        <w:gridCol w:w="3413"/>
        <w:gridCol w:w="1531"/>
        <w:gridCol w:w="1530"/>
        <w:gridCol w:w="1531"/>
        <w:gridCol w:w="1532"/>
      </w:tblGrid>
      <w:tr w:rsidR="002D3C69" w:rsidTr="00533B60">
        <w:trPr>
          <w:trHeight w:val="480"/>
        </w:trPr>
        <w:tc>
          <w:tcPr>
            <w:tcW w:w="341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Показатель* </w:t>
            </w:r>
          </w:p>
        </w:tc>
        <w:tc>
          <w:tcPr>
            <w:tcW w:w="30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МЭС</w:t>
            </w:r>
          </w:p>
        </w:tc>
        <w:tc>
          <w:tcPr>
            <w:tcW w:w="306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ПСК</w:t>
            </w:r>
          </w:p>
        </w:tc>
      </w:tr>
      <w:tr w:rsidR="002D3C69" w:rsidTr="00533B60">
        <w:trPr>
          <w:trHeight w:val="480"/>
        </w:trPr>
        <w:tc>
          <w:tcPr>
            <w:tcW w:w="341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</w:tr>
      <w:tr w:rsidR="002D3C69" w:rsidTr="00533B60">
        <w:trPr>
          <w:trHeight w:val="480"/>
        </w:trPr>
        <w:tc>
          <w:tcPr>
            <w:tcW w:w="341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144,9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7,4%</w:t>
            </w:r>
          </w:p>
        </w:tc>
        <w:tc>
          <w:tcPr>
            <w:tcW w:w="153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6,3%</w:t>
            </w:r>
          </w:p>
        </w:tc>
      </w:tr>
      <w:tr w:rsidR="002D3C69" w:rsidTr="00533B60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139,9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8,2%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48,7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8,1%</w:t>
            </w:r>
          </w:p>
        </w:tc>
      </w:tr>
      <w:tr w:rsidR="002D3C69" w:rsidTr="00533B60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(12,1%)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1,3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(36,4%)</w:t>
            </w:r>
          </w:p>
        </w:tc>
      </w:tr>
      <w:tr w:rsidR="002D3C69" w:rsidTr="00533B60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51,9%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(32,7%)</w:t>
            </w:r>
          </w:p>
        </w:tc>
      </w:tr>
      <w:tr w:rsidR="002D3C69" w:rsidTr="00533B60">
        <w:trPr>
          <w:trHeight w:val="480"/>
        </w:trPr>
        <w:tc>
          <w:tcPr>
            <w:tcW w:w="341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Объем реализации электроэнергии,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млрд кВт*ч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29,8</w:t>
            </w:r>
          </w:p>
        </w:tc>
        <w:tc>
          <w:tcPr>
            <w:tcW w:w="153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8,1%</w:t>
            </w:r>
          </w:p>
        </w:tc>
        <w:tc>
          <w:tcPr>
            <w:tcW w:w="153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9,7</w:t>
            </w:r>
          </w:p>
        </w:tc>
        <w:tc>
          <w:tcPr>
            <w:tcW w:w="153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8.6%</w:t>
            </w:r>
          </w:p>
        </w:tc>
      </w:tr>
    </w:tbl>
    <w:p w:rsidR="002D3C69" w:rsidRDefault="002D3C69" w:rsidP="002D3C69">
      <w:pPr>
        <w:jc w:val="both"/>
        <w:rPr>
          <w:rFonts w:ascii="Arial" w:hAnsi="Arial" w:cs="Arial"/>
          <w:i/>
          <w:sz w:val="18"/>
        </w:rPr>
      </w:pPr>
    </w:p>
    <w:tbl>
      <w:tblPr>
        <w:tblW w:w="9426" w:type="dxa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992"/>
        <w:gridCol w:w="850"/>
        <w:gridCol w:w="993"/>
        <w:gridCol w:w="850"/>
        <w:gridCol w:w="992"/>
        <w:gridCol w:w="993"/>
        <w:gridCol w:w="1067"/>
      </w:tblGrid>
      <w:tr w:rsidR="002D3C69" w:rsidTr="00533B60">
        <w:trPr>
          <w:trHeight w:val="581"/>
        </w:trPr>
        <w:tc>
          <w:tcPr>
            <w:tcW w:w="183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lastRenderedPageBreak/>
              <w:t xml:space="preserve">Показатель* </w:t>
            </w:r>
          </w:p>
        </w:tc>
        <w:tc>
          <w:tcPr>
            <w:tcW w:w="184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Саратовэнерго</w:t>
            </w:r>
          </w:p>
        </w:tc>
        <w:tc>
          <w:tcPr>
            <w:tcW w:w="184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Алтайэнергосбыт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Томская ЭСК</w:t>
            </w:r>
          </w:p>
        </w:tc>
        <w:tc>
          <w:tcPr>
            <w:tcW w:w="20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Тамбовская ЭСК</w:t>
            </w:r>
          </w:p>
        </w:tc>
      </w:tr>
      <w:tr w:rsidR="002D3C69" w:rsidTr="00533B60">
        <w:trPr>
          <w:trHeight w:val="581"/>
        </w:trPr>
        <w:tc>
          <w:tcPr>
            <w:tcW w:w="1838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</w:tr>
      <w:tr w:rsidR="002D3C69" w:rsidTr="00533B60">
        <w:trPr>
          <w:trHeight w:val="581"/>
        </w:trPr>
        <w:tc>
          <w:tcPr>
            <w:tcW w:w="183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7,4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2,3%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7,5%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5,6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(17.2%)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2,0</w:t>
            </w:r>
          </w:p>
        </w:tc>
        <w:tc>
          <w:tcPr>
            <w:tcW w:w="106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2,1%</w:t>
            </w:r>
          </w:p>
        </w:tc>
      </w:tr>
      <w:tr w:rsidR="002D3C69" w:rsidTr="00533B60">
        <w:trPr>
          <w:trHeight w:val="581"/>
        </w:trPr>
        <w:tc>
          <w:tcPr>
            <w:tcW w:w="183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85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7,1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2,7%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5,7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8,4%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(15,0%)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2,0</w:t>
            </w:r>
          </w:p>
        </w:tc>
        <w:tc>
          <w:tcPr>
            <w:tcW w:w="106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3,6%</w:t>
            </w:r>
          </w:p>
        </w:tc>
      </w:tr>
      <w:tr w:rsidR="002D3C69" w:rsidTr="00533B60">
        <w:trPr>
          <w:trHeight w:val="581"/>
        </w:trPr>
        <w:tc>
          <w:tcPr>
            <w:tcW w:w="183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85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0,3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(6,4%)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0,3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(9,0%)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(54,6%)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06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(23,7%)</w:t>
            </w:r>
          </w:p>
        </w:tc>
      </w:tr>
      <w:tr w:rsidR="002D3C69" w:rsidTr="00533B60">
        <w:trPr>
          <w:trHeight w:val="581"/>
        </w:trPr>
        <w:tc>
          <w:tcPr>
            <w:tcW w:w="183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85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82,8 раза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9,2%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1,5%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06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(23,7%)</w:t>
            </w:r>
          </w:p>
        </w:tc>
      </w:tr>
      <w:tr w:rsidR="002D3C69" w:rsidTr="00533B60">
        <w:trPr>
          <w:trHeight w:val="581"/>
        </w:trPr>
        <w:tc>
          <w:tcPr>
            <w:tcW w:w="183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Объем реализации электроэнергии, млрд кВт*ч</w:t>
            </w:r>
          </w:p>
        </w:tc>
        <w:tc>
          <w:tcPr>
            <w:tcW w:w="851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1,6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4.1%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1,3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8,6%</w:t>
            </w:r>
          </w:p>
        </w:tc>
        <w:tc>
          <w:tcPr>
            <w:tcW w:w="850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1,3</w:t>
            </w:r>
          </w:p>
        </w:tc>
        <w:tc>
          <w:tcPr>
            <w:tcW w:w="992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(22,7%)</w:t>
            </w:r>
          </w:p>
        </w:tc>
        <w:tc>
          <w:tcPr>
            <w:tcW w:w="993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0,4</w:t>
            </w:r>
          </w:p>
        </w:tc>
        <w:tc>
          <w:tcPr>
            <w:tcW w:w="106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3,3%</w:t>
            </w:r>
          </w:p>
        </w:tc>
      </w:tr>
    </w:tbl>
    <w:p w:rsidR="002D3C69" w:rsidRDefault="002D3C69" w:rsidP="002D3C69">
      <w:pPr>
        <w:jc w:val="both"/>
        <w:rPr>
          <w:rFonts w:ascii="Arial" w:hAnsi="Arial" w:cs="Arial"/>
          <w:i/>
          <w:sz w:val="18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566"/>
        <w:gridCol w:w="1097"/>
        <w:gridCol w:w="1199"/>
        <w:gridCol w:w="1147"/>
        <w:gridCol w:w="1149"/>
        <w:gridCol w:w="1148"/>
        <w:gridCol w:w="1148"/>
      </w:tblGrid>
      <w:tr w:rsidR="002D3C69" w:rsidTr="00533B60">
        <w:trPr>
          <w:trHeight w:val="608"/>
        </w:trPr>
        <w:tc>
          <w:tcPr>
            <w:tcW w:w="256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Показатель* 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Башэлектросбыт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ЭСВ</w:t>
            </w:r>
          </w:p>
        </w:tc>
        <w:tc>
          <w:tcPr>
            <w:tcW w:w="22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ССК</w:t>
            </w:r>
          </w:p>
        </w:tc>
      </w:tr>
      <w:tr w:rsidR="002D3C69" w:rsidTr="00533B60">
        <w:trPr>
          <w:trHeight w:val="608"/>
        </w:trPr>
        <w:tc>
          <w:tcPr>
            <w:tcW w:w="256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изм.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</w:tr>
      <w:tr w:rsidR="002D3C69" w:rsidTr="00533B60">
        <w:trPr>
          <w:trHeight w:val="608"/>
        </w:trPr>
        <w:tc>
          <w:tcPr>
            <w:tcW w:w="2566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Выручка</w:t>
            </w:r>
          </w:p>
        </w:tc>
        <w:tc>
          <w:tcPr>
            <w:tcW w:w="109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16,1</w:t>
            </w:r>
          </w:p>
        </w:tc>
        <w:tc>
          <w:tcPr>
            <w:tcW w:w="119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2,7%</w:t>
            </w:r>
          </w:p>
        </w:tc>
        <w:tc>
          <w:tcPr>
            <w:tcW w:w="1147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5,6</w:t>
            </w:r>
          </w:p>
        </w:tc>
        <w:tc>
          <w:tcPr>
            <w:tcW w:w="1149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7,4%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6,1</w:t>
            </w:r>
          </w:p>
        </w:tc>
        <w:tc>
          <w:tcPr>
            <w:tcW w:w="1148" w:type="dxa"/>
            <w:tcBorders>
              <w:top w:val="single" w:sz="4" w:space="0" w:color="FFFFFF" w:themeColor="background1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10,2%</w:t>
            </w:r>
          </w:p>
        </w:tc>
      </w:tr>
      <w:tr w:rsidR="002D3C69" w:rsidTr="00533B60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Операционные расходы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15,2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4,1%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5,2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9,2%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5,8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10,9%</w:t>
            </w:r>
          </w:p>
        </w:tc>
      </w:tr>
      <w:tr w:rsidR="002D3C69" w:rsidTr="00533B60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Прибыль от продаж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(16,9%)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0,3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(14,1%)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0,3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trike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0,6%</w:t>
            </w:r>
          </w:p>
        </w:tc>
      </w:tr>
      <w:tr w:rsidR="002D3C69" w:rsidTr="00533B60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Чистая прибыль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(14,0%)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38,2%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0,3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16,8%</w:t>
            </w:r>
          </w:p>
        </w:tc>
      </w:tr>
      <w:tr w:rsidR="002D3C69" w:rsidTr="00533B60">
        <w:trPr>
          <w:trHeight w:val="608"/>
        </w:trPr>
        <w:tc>
          <w:tcPr>
            <w:tcW w:w="2566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Объем реализации электроэнергии, млрд кВт*ч</w:t>
            </w:r>
          </w:p>
        </w:tc>
        <w:tc>
          <w:tcPr>
            <w:tcW w:w="109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4,3</w:t>
            </w:r>
          </w:p>
        </w:tc>
        <w:tc>
          <w:tcPr>
            <w:tcW w:w="119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3,3%</w:t>
            </w:r>
          </w:p>
        </w:tc>
        <w:tc>
          <w:tcPr>
            <w:tcW w:w="1147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1,1</w:t>
            </w:r>
          </w:p>
        </w:tc>
        <w:tc>
          <w:tcPr>
            <w:tcW w:w="1149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7,4%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1,4</w:t>
            </w:r>
          </w:p>
        </w:tc>
        <w:tc>
          <w:tcPr>
            <w:tcW w:w="1148" w:type="dxa"/>
            <w:tcBorders>
              <w:top w:val="single" w:sz="8" w:space="0" w:color="D1D1D3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E5EFF7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12,8%</w:t>
            </w:r>
          </w:p>
        </w:tc>
      </w:tr>
    </w:tbl>
    <w:p w:rsidR="002D3C69" w:rsidRDefault="002D3C69" w:rsidP="002D3C69">
      <w:pPr>
        <w:jc w:val="both"/>
        <w:rPr>
          <w:rFonts w:ascii="Arial" w:hAnsi="Arial" w:cs="Arial"/>
          <w:i/>
          <w:sz w:val="18"/>
        </w:rPr>
      </w:pPr>
    </w:p>
    <w:p w:rsidR="002D3C69" w:rsidRDefault="002D3C69" w:rsidP="002D3C69">
      <w:pPr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* - в млрд рублей, если не указано иное</w:t>
      </w:r>
    </w:p>
    <w:p w:rsidR="002D3C69" w:rsidRDefault="002D3C69" w:rsidP="002D3C69">
      <w:pPr>
        <w:jc w:val="both"/>
        <w:rPr>
          <w:rFonts w:ascii="Arial" w:hAnsi="Arial" w:cs="Arial"/>
          <w:i/>
          <w:sz w:val="18"/>
        </w:rPr>
      </w:pPr>
    </w:p>
    <w:p w:rsidR="002D3C69" w:rsidRDefault="002D3C69" w:rsidP="002D3C69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Более подробно с результатами работы сбытовых компаний – гарантирующих поставщиков Группы «Интер РАО» по итогам I квартала 2024 года в соответствии с РСБУ можно ознакомиться на официальных сайтах компаний:</w:t>
      </w:r>
    </w:p>
    <w:p w:rsidR="002D3C69" w:rsidRDefault="002D3C69" w:rsidP="002D3C69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1002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005"/>
        <w:gridCol w:w="2006"/>
        <w:gridCol w:w="2006"/>
        <w:gridCol w:w="2006"/>
        <w:gridCol w:w="2006"/>
      </w:tblGrid>
      <w:tr w:rsidR="002D3C69" w:rsidTr="00533B60">
        <w:trPr>
          <w:trHeight w:val="810"/>
        </w:trPr>
        <w:tc>
          <w:tcPr>
            <w:tcW w:w="200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МЭС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ПСК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Саратовэнерго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Алтайэнергосбыт</w:t>
            </w:r>
            <w:proofErr w:type="spellEnd"/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Томская ЭСК</w:t>
            </w:r>
          </w:p>
        </w:tc>
      </w:tr>
      <w:tr w:rsidR="002D3C69" w:rsidTr="00533B60">
        <w:trPr>
          <w:trHeight w:val="703"/>
        </w:trPr>
        <w:tc>
          <w:tcPr>
            <w:tcW w:w="2005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4" w:tooltip="https://www.mosenergosbyt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https://www.mosenergosbyt.ru/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5" w:tooltip="https://pesc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https://pesc.ru/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6" w:tooltip="https://www.saratovenergo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https://www.saratovenergo.ru/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7" w:tooltip="https://altaiensb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https://altaiensb.ru/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8" w:tooltip="https://tomskenergosbyt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https://tomskenergosbyt.ru/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</w:tr>
    </w:tbl>
    <w:p w:rsidR="002D3C69" w:rsidRDefault="002D3C69" w:rsidP="002D3C69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8023" w:type="dxa"/>
        <w:tblInd w:w="794" w:type="dxa"/>
        <w:tblLayout w:type="fixed"/>
        <w:tblLook w:val="04A0" w:firstRow="1" w:lastRow="0" w:firstColumn="1" w:lastColumn="0" w:noHBand="0" w:noVBand="1"/>
      </w:tblPr>
      <w:tblGrid>
        <w:gridCol w:w="2005"/>
        <w:gridCol w:w="2006"/>
        <w:gridCol w:w="2006"/>
        <w:gridCol w:w="2006"/>
      </w:tblGrid>
      <w:tr w:rsidR="002D3C69" w:rsidTr="00533B60">
        <w:trPr>
          <w:trHeight w:val="810"/>
        </w:trPr>
        <w:tc>
          <w:tcPr>
            <w:tcW w:w="200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Тамбовская ЭСК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Башэлектросбыт</w:t>
            </w:r>
            <w:proofErr w:type="spellEnd"/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ЭСВ</w:t>
            </w:r>
          </w:p>
        </w:tc>
        <w:tc>
          <w:tcPr>
            <w:tcW w:w="200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136ABA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4"/>
                <w:szCs w:val="14"/>
              </w:rPr>
              <w:t>ССК</w:t>
            </w:r>
          </w:p>
        </w:tc>
      </w:tr>
      <w:tr w:rsidR="002D3C69" w:rsidTr="00533B60">
        <w:trPr>
          <w:trHeight w:val="703"/>
        </w:trPr>
        <w:tc>
          <w:tcPr>
            <w:tcW w:w="2005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19" w:tooltip="https://tesk.s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https://tesk.su/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0" w:tooltip="https://www.bashesk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https://www.bashesk.ru/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1" w:tooltip="https://www.esbvolga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https://www.esbvolga.ru/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</w:p>
        </w:tc>
        <w:tc>
          <w:tcPr>
            <w:tcW w:w="2006" w:type="dxa"/>
            <w:tcBorders>
              <w:top w:val="none" w:sz="4" w:space="0" w:color="000000"/>
              <w:left w:val="single" w:sz="8" w:space="0" w:color="D1D1D3"/>
              <w:bottom w:val="single" w:sz="8" w:space="0" w:color="D1D1D3"/>
              <w:right w:val="none" w:sz="4" w:space="0" w:color="000000"/>
            </w:tcBorders>
            <w:shd w:val="clear" w:color="000000" w:fill="F7F9FB"/>
            <w:vAlign w:val="center"/>
          </w:tcPr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hyperlink r:id="rId22" w:tooltip="https://sevesk.ru/" w:history="1">
              <w:r>
                <w:rPr>
                  <w:rStyle w:val="afa"/>
                  <w:rFonts w:ascii="Arial" w:eastAsia="Times New Roman" w:hAnsi="Arial" w:cs="Arial"/>
                  <w:i/>
                  <w:iCs/>
                  <w:sz w:val="14"/>
                  <w:szCs w:val="14"/>
                  <w:highlight w:val="white"/>
                </w:rPr>
                <w:t>https://sevesk.ru/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  <w:t xml:space="preserve"> </w:t>
            </w:r>
          </w:p>
          <w:p w:rsidR="002D3C69" w:rsidRDefault="002D3C69" w:rsidP="00533B60">
            <w:pPr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14"/>
                <w:szCs w:val="14"/>
                <w:highlight w:val="white"/>
                <w:u w:val="single"/>
              </w:rPr>
            </w:pPr>
            <w:bookmarkStart w:id="1" w:name="_GoBack"/>
            <w:bookmarkEnd w:id="1"/>
          </w:p>
        </w:tc>
      </w:tr>
      <w:bookmarkEnd w:id="0"/>
    </w:tbl>
    <w:p w:rsidR="002D3C69" w:rsidRDefault="002D3C69" w:rsidP="002D3C69">
      <w:pPr>
        <w:spacing w:before="240" w:after="240"/>
        <w:rPr>
          <w:rFonts w:ascii="Arial" w:hAnsi="Arial" w:cs="Arial"/>
          <w:b/>
          <w:sz w:val="24"/>
          <w:szCs w:val="24"/>
        </w:rPr>
      </w:pPr>
    </w:p>
    <w:sectPr w:rsidR="002D3C69">
      <w:footerReference w:type="default" r:id="rId23"/>
      <w:footerReference w:type="first" r:id="rId24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62E" w:rsidRDefault="00D7162E">
      <w:r>
        <w:separator/>
      </w:r>
    </w:p>
  </w:endnote>
  <w:endnote w:type="continuationSeparator" w:id="0">
    <w:p w:rsidR="00D7162E" w:rsidRDefault="00D71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450A3D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 w:rsidRPr="007C2AF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Pr="00F40C6D" w:rsidRDefault="008159D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 xml:space="preserve">Центр </w:t>
          </w:r>
          <w:r w:rsidR="00C52C4E" w:rsidRPr="00F40C6D">
            <w:rPr>
              <w:rFonts w:ascii="Tahoma" w:hAnsi="Tahoma" w:cs="Tahoma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Pr="00F40C6D" w:rsidRDefault="00D7162E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history="1">
            <w:r w:rsidR="00127469" w:rsidRPr="00F40C6D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027DA" w:rsidRPr="00F40C6D" w:rsidRDefault="00E027DA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62E" w:rsidRDefault="00D7162E">
      <w:r>
        <w:separator/>
      </w:r>
    </w:p>
  </w:footnote>
  <w:footnote w:type="continuationSeparator" w:id="0">
    <w:p w:rsidR="00D7162E" w:rsidRDefault="00D71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3F6552F"/>
    <w:multiLevelType w:val="hybridMultilevel"/>
    <w:tmpl w:val="5606BBFC"/>
    <w:lvl w:ilvl="0" w:tplc="6AC0C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18ED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26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0C79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4FF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05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64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6F4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2A7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4"/>
  </w:num>
  <w:num w:numId="4">
    <w:abstractNumId w:val="0"/>
  </w:num>
  <w:num w:numId="5">
    <w:abstractNumId w:val="15"/>
  </w:num>
  <w:num w:numId="6">
    <w:abstractNumId w:val="26"/>
  </w:num>
  <w:num w:numId="7">
    <w:abstractNumId w:val="23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7"/>
  </w:num>
  <w:num w:numId="19">
    <w:abstractNumId w:val="28"/>
  </w:num>
  <w:num w:numId="20">
    <w:abstractNumId w:val="19"/>
  </w:num>
  <w:num w:numId="21">
    <w:abstractNumId w:val="29"/>
  </w:num>
  <w:num w:numId="22">
    <w:abstractNumId w:val="22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1"/>
  </w:num>
  <w:num w:numId="28">
    <w:abstractNumId w:val="4"/>
  </w:num>
  <w:num w:numId="29">
    <w:abstractNumId w:val="2"/>
  </w:num>
  <w:num w:numId="30">
    <w:abstractNumId w:val="2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04770"/>
    <w:rsid w:val="0001697E"/>
    <w:rsid w:val="0002032F"/>
    <w:rsid w:val="000276A8"/>
    <w:rsid w:val="0003272A"/>
    <w:rsid w:val="00032C59"/>
    <w:rsid w:val="0003541D"/>
    <w:rsid w:val="00035A25"/>
    <w:rsid w:val="0004154E"/>
    <w:rsid w:val="000579D8"/>
    <w:rsid w:val="00085531"/>
    <w:rsid w:val="0009103E"/>
    <w:rsid w:val="000B0AED"/>
    <w:rsid w:val="000B7411"/>
    <w:rsid w:val="000C3C65"/>
    <w:rsid w:val="000D778B"/>
    <w:rsid w:val="000E3AC2"/>
    <w:rsid w:val="000E6130"/>
    <w:rsid w:val="00127469"/>
    <w:rsid w:val="001316E5"/>
    <w:rsid w:val="001510CC"/>
    <w:rsid w:val="00155C21"/>
    <w:rsid w:val="00161CF9"/>
    <w:rsid w:val="001731CD"/>
    <w:rsid w:val="001772F0"/>
    <w:rsid w:val="001A50A7"/>
    <w:rsid w:val="001A6FDE"/>
    <w:rsid w:val="001D08B6"/>
    <w:rsid w:val="001D2811"/>
    <w:rsid w:val="001F17C2"/>
    <w:rsid w:val="001F7872"/>
    <w:rsid w:val="00202515"/>
    <w:rsid w:val="00212773"/>
    <w:rsid w:val="00222CE6"/>
    <w:rsid w:val="0022355E"/>
    <w:rsid w:val="00225AC2"/>
    <w:rsid w:val="00245F15"/>
    <w:rsid w:val="002468EA"/>
    <w:rsid w:val="00254822"/>
    <w:rsid w:val="0025730F"/>
    <w:rsid w:val="00262D56"/>
    <w:rsid w:val="00266D89"/>
    <w:rsid w:val="00295BF6"/>
    <w:rsid w:val="002A2FBC"/>
    <w:rsid w:val="002C2C90"/>
    <w:rsid w:val="002D3C69"/>
    <w:rsid w:val="002E2DBD"/>
    <w:rsid w:val="00323F47"/>
    <w:rsid w:val="00326469"/>
    <w:rsid w:val="00334F4B"/>
    <w:rsid w:val="0033566E"/>
    <w:rsid w:val="00344450"/>
    <w:rsid w:val="00356B02"/>
    <w:rsid w:val="003674F2"/>
    <w:rsid w:val="00381398"/>
    <w:rsid w:val="00387804"/>
    <w:rsid w:val="00395BD0"/>
    <w:rsid w:val="003B619D"/>
    <w:rsid w:val="003C35DD"/>
    <w:rsid w:val="003D065C"/>
    <w:rsid w:val="003E56BA"/>
    <w:rsid w:val="0040157C"/>
    <w:rsid w:val="004054FB"/>
    <w:rsid w:val="00406B48"/>
    <w:rsid w:val="0041718B"/>
    <w:rsid w:val="0043447F"/>
    <w:rsid w:val="00436DBC"/>
    <w:rsid w:val="00445BBE"/>
    <w:rsid w:val="00450A3D"/>
    <w:rsid w:val="004556D2"/>
    <w:rsid w:val="004572F1"/>
    <w:rsid w:val="0047449C"/>
    <w:rsid w:val="00494F96"/>
    <w:rsid w:val="004E0EF3"/>
    <w:rsid w:val="004F5913"/>
    <w:rsid w:val="004F679A"/>
    <w:rsid w:val="00514AA9"/>
    <w:rsid w:val="00515E33"/>
    <w:rsid w:val="00516360"/>
    <w:rsid w:val="005211DE"/>
    <w:rsid w:val="00522C6D"/>
    <w:rsid w:val="0053393F"/>
    <w:rsid w:val="00543E2B"/>
    <w:rsid w:val="00543FF9"/>
    <w:rsid w:val="0056072E"/>
    <w:rsid w:val="00581E14"/>
    <w:rsid w:val="00582631"/>
    <w:rsid w:val="00586B56"/>
    <w:rsid w:val="005945AC"/>
    <w:rsid w:val="0059635A"/>
    <w:rsid w:val="005A025E"/>
    <w:rsid w:val="005A78B2"/>
    <w:rsid w:val="005C20F0"/>
    <w:rsid w:val="005C4A24"/>
    <w:rsid w:val="005D5550"/>
    <w:rsid w:val="005D56EA"/>
    <w:rsid w:val="005E2E9E"/>
    <w:rsid w:val="005E634D"/>
    <w:rsid w:val="00602B5B"/>
    <w:rsid w:val="00606D0E"/>
    <w:rsid w:val="00615409"/>
    <w:rsid w:val="006205F0"/>
    <w:rsid w:val="00640013"/>
    <w:rsid w:val="006465CB"/>
    <w:rsid w:val="00666D3F"/>
    <w:rsid w:val="0067042F"/>
    <w:rsid w:val="00672E1D"/>
    <w:rsid w:val="006745B3"/>
    <w:rsid w:val="0068148A"/>
    <w:rsid w:val="00685C6F"/>
    <w:rsid w:val="006935B1"/>
    <w:rsid w:val="006B55A6"/>
    <w:rsid w:val="006B6045"/>
    <w:rsid w:val="006C04CE"/>
    <w:rsid w:val="006D5438"/>
    <w:rsid w:val="006E1A79"/>
    <w:rsid w:val="006F74EE"/>
    <w:rsid w:val="007005BC"/>
    <w:rsid w:val="00742BFC"/>
    <w:rsid w:val="0075105D"/>
    <w:rsid w:val="00752BB9"/>
    <w:rsid w:val="00757525"/>
    <w:rsid w:val="007636CE"/>
    <w:rsid w:val="00770B55"/>
    <w:rsid w:val="007817C3"/>
    <w:rsid w:val="00786420"/>
    <w:rsid w:val="007906E3"/>
    <w:rsid w:val="0079475F"/>
    <w:rsid w:val="007A1F2B"/>
    <w:rsid w:val="007A5739"/>
    <w:rsid w:val="007C16E3"/>
    <w:rsid w:val="007C1E95"/>
    <w:rsid w:val="007C1FFC"/>
    <w:rsid w:val="007C2AF1"/>
    <w:rsid w:val="007D3782"/>
    <w:rsid w:val="007D3A07"/>
    <w:rsid w:val="007E5F7F"/>
    <w:rsid w:val="007F3C9E"/>
    <w:rsid w:val="007F7039"/>
    <w:rsid w:val="00802464"/>
    <w:rsid w:val="008159D6"/>
    <w:rsid w:val="00836D4A"/>
    <w:rsid w:val="00841F29"/>
    <w:rsid w:val="00851071"/>
    <w:rsid w:val="00886381"/>
    <w:rsid w:val="008A7928"/>
    <w:rsid w:val="008A798F"/>
    <w:rsid w:val="008D26AD"/>
    <w:rsid w:val="008D49F6"/>
    <w:rsid w:val="008F2B24"/>
    <w:rsid w:val="00904248"/>
    <w:rsid w:val="00917A73"/>
    <w:rsid w:val="009263B9"/>
    <w:rsid w:val="00926DF1"/>
    <w:rsid w:val="00927ED7"/>
    <w:rsid w:val="0095349D"/>
    <w:rsid w:val="00957471"/>
    <w:rsid w:val="00962B61"/>
    <w:rsid w:val="00984008"/>
    <w:rsid w:val="00991B34"/>
    <w:rsid w:val="009B0970"/>
    <w:rsid w:val="009E2B98"/>
    <w:rsid w:val="009E315B"/>
    <w:rsid w:val="009E39F7"/>
    <w:rsid w:val="00A02416"/>
    <w:rsid w:val="00A2611A"/>
    <w:rsid w:val="00A266F1"/>
    <w:rsid w:val="00A476DA"/>
    <w:rsid w:val="00A50AAB"/>
    <w:rsid w:val="00A533A4"/>
    <w:rsid w:val="00A56B79"/>
    <w:rsid w:val="00A6679E"/>
    <w:rsid w:val="00A72794"/>
    <w:rsid w:val="00A92638"/>
    <w:rsid w:val="00A9408A"/>
    <w:rsid w:val="00AA0094"/>
    <w:rsid w:val="00AA228C"/>
    <w:rsid w:val="00AA6624"/>
    <w:rsid w:val="00AB4EDF"/>
    <w:rsid w:val="00AB6ADB"/>
    <w:rsid w:val="00AB7416"/>
    <w:rsid w:val="00AC2E6C"/>
    <w:rsid w:val="00AD48DD"/>
    <w:rsid w:val="00AD6C76"/>
    <w:rsid w:val="00AF3BB8"/>
    <w:rsid w:val="00AF7889"/>
    <w:rsid w:val="00B07A17"/>
    <w:rsid w:val="00B55C6E"/>
    <w:rsid w:val="00B65D55"/>
    <w:rsid w:val="00B7025A"/>
    <w:rsid w:val="00B73CB6"/>
    <w:rsid w:val="00B759DD"/>
    <w:rsid w:val="00BC17CF"/>
    <w:rsid w:val="00BE76F7"/>
    <w:rsid w:val="00BF1DDA"/>
    <w:rsid w:val="00C04651"/>
    <w:rsid w:val="00C066DF"/>
    <w:rsid w:val="00C145FA"/>
    <w:rsid w:val="00C170C7"/>
    <w:rsid w:val="00C24CD1"/>
    <w:rsid w:val="00C24F57"/>
    <w:rsid w:val="00C36264"/>
    <w:rsid w:val="00C4112B"/>
    <w:rsid w:val="00C41C17"/>
    <w:rsid w:val="00C45C80"/>
    <w:rsid w:val="00C52C4E"/>
    <w:rsid w:val="00C84273"/>
    <w:rsid w:val="00C9016D"/>
    <w:rsid w:val="00C97915"/>
    <w:rsid w:val="00CA00A3"/>
    <w:rsid w:val="00CA0E3A"/>
    <w:rsid w:val="00CA7065"/>
    <w:rsid w:val="00CC0FD2"/>
    <w:rsid w:val="00CC3C07"/>
    <w:rsid w:val="00CC4B57"/>
    <w:rsid w:val="00CC5C48"/>
    <w:rsid w:val="00CD6C70"/>
    <w:rsid w:val="00CD7C55"/>
    <w:rsid w:val="00CE038E"/>
    <w:rsid w:val="00CE176B"/>
    <w:rsid w:val="00CF2340"/>
    <w:rsid w:val="00D07308"/>
    <w:rsid w:val="00D40AFE"/>
    <w:rsid w:val="00D44177"/>
    <w:rsid w:val="00D529E0"/>
    <w:rsid w:val="00D7162E"/>
    <w:rsid w:val="00D83386"/>
    <w:rsid w:val="00D90768"/>
    <w:rsid w:val="00D92654"/>
    <w:rsid w:val="00DA2192"/>
    <w:rsid w:val="00DA474D"/>
    <w:rsid w:val="00DA6C8C"/>
    <w:rsid w:val="00DD0660"/>
    <w:rsid w:val="00DE33D3"/>
    <w:rsid w:val="00DE44E7"/>
    <w:rsid w:val="00DF3590"/>
    <w:rsid w:val="00DF6813"/>
    <w:rsid w:val="00E027DA"/>
    <w:rsid w:val="00E41F2C"/>
    <w:rsid w:val="00E539C0"/>
    <w:rsid w:val="00E57CFD"/>
    <w:rsid w:val="00E66E1D"/>
    <w:rsid w:val="00E67E13"/>
    <w:rsid w:val="00E71871"/>
    <w:rsid w:val="00E775F2"/>
    <w:rsid w:val="00E86CCB"/>
    <w:rsid w:val="00EA6422"/>
    <w:rsid w:val="00EB6EAB"/>
    <w:rsid w:val="00EC7BBD"/>
    <w:rsid w:val="00F3153B"/>
    <w:rsid w:val="00F34BFF"/>
    <w:rsid w:val="00F40C6D"/>
    <w:rsid w:val="00F52E3A"/>
    <w:rsid w:val="00F57084"/>
    <w:rsid w:val="00F65295"/>
    <w:rsid w:val="00F66F14"/>
    <w:rsid w:val="00F7742E"/>
    <w:rsid w:val="00F965B4"/>
    <w:rsid w:val="00F979B3"/>
    <w:rsid w:val="00FD1B8A"/>
    <w:rsid w:val="00FF1179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991F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sid w:val="00127469"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sid w:val="002D3C69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213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34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204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hyperlink" Target="https://tomskenergosby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sbvolga.ru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altaiensb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aratovenergo.ru/" TargetMode="External"/><Relationship Id="rId20" Type="http://schemas.openxmlformats.org/officeDocument/2006/relationships/hyperlink" Target="https://www.bashesk.ru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pesc.ru/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tesk.su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mosenergosbyt.ru/" TargetMode="External"/><Relationship Id="rId22" Type="http://schemas.openxmlformats.org/officeDocument/2006/relationships/hyperlink" Target="https://sevesk.ru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12DE331-58F9-4E2F-8C2E-F3987883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2979</Characters>
  <Application>Microsoft Office Word</Application>
  <DocSecurity>0</DocSecurity>
  <Lines>110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20180202_ИРАО_ Производственные результаты_2017.docx</vt:lpstr>
      <vt:lpstr>20180202_ИРАО_ Производственные результаты_2017.docx</vt:lpstr>
    </vt:vector>
  </TitlesOfParts>
  <Company>Inter RAO UES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2</cp:revision>
  <cp:lastPrinted>2024-04-12T05:53:00Z</cp:lastPrinted>
  <dcterms:created xsi:type="dcterms:W3CDTF">2024-04-24T16:50:00Z</dcterms:created>
  <dcterms:modified xsi:type="dcterms:W3CDTF">2024-04-24T16:50:00Z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