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6595361"/>
    <w:p w14:paraId="15CAC345" w14:textId="77777777" w:rsidR="00D46DF1" w:rsidRDefault="0011618A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14:paraId="1EB1F2A1" w14:textId="77777777" w:rsidR="00D46DF1" w:rsidRDefault="00D46DF1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14:paraId="2BB5C5AF" w14:textId="77777777" w:rsidR="00D46DF1" w:rsidRDefault="0011618A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июля 2024, Москва</w:t>
      </w:r>
    </w:p>
    <w:p w14:paraId="776D9114" w14:textId="77777777" w:rsidR="00D46DF1" w:rsidRDefault="0011618A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Российские генерирующие компании Группы «Интер РАО» опубликовали бухгалтерскую отчётность по РСБУ </w:t>
      </w:r>
      <w:r>
        <w:rPr>
          <w:rFonts w:ascii="Arial" w:hAnsi="Arial" w:cs="Arial"/>
          <w:b/>
          <w:sz w:val="32"/>
          <w:szCs w:val="24"/>
        </w:rPr>
        <w:br/>
        <w:t>за I полугодие 2024 года</w:t>
      </w:r>
    </w:p>
    <w:p w14:paraId="04379843" w14:textId="77777777" w:rsidR="006E0572" w:rsidRDefault="006E0572">
      <w:pPr>
        <w:jc w:val="both"/>
        <w:rPr>
          <w:rFonts w:ascii="Arial" w:hAnsi="Arial" w:cs="Arial"/>
          <w:b/>
          <w:sz w:val="24"/>
          <w:szCs w:val="24"/>
        </w:rPr>
      </w:pPr>
    </w:p>
    <w:p w14:paraId="276C2E50" w14:textId="59A944FA" w:rsidR="00D46DF1" w:rsidRPr="006E0572" w:rsidRDefault="0011618A" w:rsidP="006E0572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6E0572">
        <w:rPr>
          <w:rFonts w:ascii="Arial" w:hAnsi="Arial" w:cs="Arial"/>
          <w:sz w:val="24"/>
          <w:szCs w:val="24"/>
        </w:rPr>
        <w:t>Основные факторы, определ</w:t>
      </w:r>
      <w:r w:rsidR="006E0572">
        <w:rPr>
          <w:rFonts w:ascii="Arial" w:hAnsi="Arial" w:cs="Arial"/>
          <w:sz w:val="24"/>
          <w:szCs w:val="24"/>
        </w:rPr>
        <w:t>ившие</w:t>
      </w:r>
      <w:r w:rsidRPr="006E0572">
        <w:rPr>
          <w:rFonts w:ascii="Arial" w:hAnsi="Arial" w:cs="Arial"/>
          <w:sz w:val="24"/>
          <w:szCs w:val="24"/>
        </w:rPr>
        <w:t xml:space="preserve"> динамику операционно-финансовых показателей российских генерирующих компаний Группы «Интер РАО»</w:t>
      </w:r>
      <w:r w:rsidR="006E0572" w:rsidRPr="006E0572">
        <w:t xml:space="preserve"> </w:t>
      </w:r>
      <w:r w:rsidR="006E0572">
        <w:rPr>
          <w:rFonts w:ascii="Arial" w:hAnsi="Arial" w:cs="Arial"/>
          <w:sz w:val="24"/>
          <w:szCs w:val="24"/>
        </w:rPr>
        <w:t>(</w:t>
      </w:r>
      <w:r w:rsidR="006E0572" w:rsidRPr="006E0572">
        <w:rPr>
          <w:rFonts w:ascii="Arial" w:hAnsi="Arial" w:cs="Arial"/>
          <w:sz w:val="24"/>
          <w:szCs w:val="24"/>
        </w:rPr>
        <w:t xml:space="preserve">АО «Интер РАО – </w:t>
      </w:r>
      <w:proofErr w:type="spellStart"/>
      <w:r w:rsidR="006E0572" w:rsidRPr="006E0572">
        <w:rPr>
          <w:rFonts w:ascii="Arial" w:hAnsi="Arial" w:cs="Arial"/>
          <w:sz w:val="24"/>
          <w:szCs w:val="24"/>
        </w:rPr>
        <w:t>Электрогенерация</w:t>
      </w:r>
      <w:proofErr w:type="spellEnd"/>
      <w:r w:rsidR="006E0572" w:rsidRPr="006E0572">
        <w:rPr>
          <w:rFonts w:ascii="Arial" w:hAnsi="Arial" w:cs="Arial"/>
          <w:sz w:val="24"/>
          <w:szCs w:val="24"/>
        </w:rPr>
        <w:t>», ЗАО «Нижневартовская ГРЭС», ООО «БГК», АО «ТГК-11», АО «Томская генерация»</w:t>
      </w:r>
      <w:r w:rsidR="006E0572">
        <w:rPr>
          <w:rFonts w:ascii="Arial" w:hAnsi="Arial" w:cs="Arial"/>
          <w:sz w:val="24"/>
          <w:szCs w:val="24"/>
        </w:rPr>
        <w:t>)</w:t>
      </w:r>
      <w:r w:rsidRPr="006E0572">
        <w:rPr>
          <w:rFonts w:ascii="Arial" w:hAnsi="Arial" w:cs="Arial"/>
          <w:sz w:val="24"/>
          <w:szCs w:val="24"/>
        </w:rPr>
        <w:t>:</w:t>
      </w:r>
    </w:p>
    <w:p w14:paraId="7C396D5A" w14:textId="77777777" w:rsidR="00D46DF1" w:rsidRDefault="00D46DF1">
      <w:pPr>
        <w:pStyle w:val="aff6"/>
        <w:rPr>
          <w:rFonts w:ascii="Tahoma" w:hAnsi="Tahoma" w:cs="Tahoma"/>
          <w:highlight w:val="white"/>
          <w:lang w:val="ru-RU"/>
        </w:rPr>
      </w:pPr>
    </w:p>
    <w:p w14:paraId="42252209" w14:textId="72EA4E2A" w:rsidR="00D46DF1" w:rsidRPr="00257231" w:rsidRDefault="0011618A" w:rsidP="006E0572">
      <w:pPr>
        <w:pStyle w:val="aff6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257231">
        <w:rPr>
          <w:rFonts w:ascii="Arial" w:hAnsi="Arial" w:cs="Arial"/>
          <w:sz w:val="24"/>
          <w:szCs w:val="24"/>
          <w:lang w:val="ru-RU"/>
        </w:rPr>
        <w:t>Рост потребления электроэнергии на 4,5</w:t>
      </w:r>
      <w:r w:rsidRPr="00257231">
        <w:rPr>
          <w:rFonts w:ascii="Arial" w:hAnsi="Arial" w:cs="Arial"/>
          <w:sz w:val="24"/>
          <w:szCs w:val="24"/>
          <w:lang w:val="ru-RU"/>
        </w:rPr>
        <w:t xml:space="preserve">% </w:t>
      </w:r>
      <w:r w:rsidRPr="00257231">
        <w:rPr>
          <w:rFonts w:ascii="Arial" w:hAnsi="Arial" w:cs="Arial"/>
          <w:sz w:val="24"/>
          <w:szCs w:val="24"/>
          <w:lang w:val="ru-RU"/>
        </w:rPr>
        <w:t>полугоди</w:t>
      </w:r>
      <w:r w:rsidRPr="00257231">
        <w:rPr>
          <w:rFonts w:ascii="Arial" w:hAnsi="Arial" w:cs="Arial"/>
          <w:sz w:val="24"/>
          <w:szCs w:val="24"/>
          <w:lang w:val="ru-RU"/>
        </w:rPr>
        <w:t xml:space="preserve">я к полугодию </w:t>
      </w:r>
      <w:r w:rsidRPr="00257231">
        <w:rPr>
          <w:rFonts w:ascii="Arial" w:hAnsi="Arial" w:cs="Arial"/>
          <w:sz w:val="24"/>
          <w:szCs w:val="24"/>
          <w:lang w:val="ru-RU"/>
        </w:rPr>
        <w:t xml:space="preserve">году </w:t>
      </w:r>
      <w:r w:rsidRPr="00257231">
        <w:rPr>
          <w:rFonts w:ascii="Arial" w:hAnsi="Arial" w:cs="Arial"/>
          <w:sz w:val="24"/>
          <w:szCs w:val="24"/>
          <w:lang w:val="ru-RU"/>
        </w:rPr>
        <w:t>в ЕЭС России;</w:t>
      </w:r>
    </w:p>
    <w:p w14:paraId="732583D4" w14:textId="247B8913" w:rsidR="00D46DF1" w:rsidRPr="006E0572" w:rsidRDefault="0011618A" w:rsidP="006E0572">
      <w:pPr>
        <w:pStyle w:val="aff6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E0572">
        <w:rPr>
          <w:rFonts w:ascii="Arial" w:hAnsi="Arial" w:cs="Arial"/>
          <w:sz w:val="24"/>
          <w:szCs w:val="24"/>
        </w:rPr>
        <w:t>Рост</w:t>
      </w:r>
      <w:proofErr w:type="spellEnd"/>
      <w:r w:rsidRPr="006E05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0572">
        <w:rPr>
          <w:rFonts w:ascii="Arial" w:hAnsi="Arial" w:cs="Arial"/>
          <w:sz w:val="24"/>
          <w:szCs w:val="24"/>
        </w:rPr>
        <w:t>цены</w:t>
      </w:r>
      <w:proofErr w:type="spellEnd"/>
      <w:r w:rsidRPr="006E05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0572">
        <w:rPr>
          <w:rFonts w:ascii="Arial" w:hAnsi="Arial" w:cs="Arial"/>
          <w:sz w:val="24"/>
          <w:szCs w:val="24"/>
        </w:rPr>
        <w:t>реализации</w:t>
      </w:r>
      <w:proofErr w:type="spellEnd"/>
      <w:r w:rsidRPr="006E05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0572">
        <w:rPr>
          <w:rFonts w:ascii="Arial" w:hAnsi="Arial" w:cs="Arial"/>
          <w:sz w:val="24"/>
          <w:szCs w:val="24"/>
        </w:rPr>
        <w:t>мощности</w:t>
      </w:r>
      <w:proofErr w:type="spellEnd"/>
      <w:r w:rsidRPr="006E0572">
        <w:rPr>
          <w:rFonts w:ascii="Arial" w:hAnsi="Arial" w:cs="Arial"/>
          <w:sz w:val="24"/>
          <w:szCs w:val="24"/>
        </w:rPr>
        <w:t>, в т.ч. по договорам поставки в КОМ/СДМ и по регулируемым договорам в соответствии с приказами, утвержд</w:t>
      </w:r>
      <w:r w:rsidR="006E0572" w:rsidRPr="006E0572">
        <w:rPr>
          <w:rFonts w:ascii="Arial" w:hAnsi="Arial" w:cs="Arial"/>
          <w:sz w:val="24"/>
          <w:szCs w:val="24"/>
        </w:rPr>
        <w:t>ё</w:t>
      </w:r>
      <w:r w:rsidRPr="006E0572">
        <w:rPr>
          <w:rFonts w:ascii="Arial" w:hAnsi="Arial" w:cs="Arial"/>
          <w:sz w:val="24"/>
          <w:szCs w:val="24"/>
        </w:rPr>
        <w:t>нными ФАС России;</w:t>
      </w:r>
    </w:p>
    <w:p w14:paraId="013F5375" w14:textId="5727E8A3" w:rsidR="00D46DF1" w:rsidRPr="006E0572" w:rsidRDefault="0011618A" w:rsidP="006E0572">
      <w:pPr>
        <w:pStyle w:val="aff6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E0572">
        <w:rPr>
          <w:rFonts w:ascii="Arial" w:hAnsi="Arial" w:cs="Arial"/>
          <w:sz w:val="24"/>
          <w:szCs w:val="24"/>
        </w:rPr>
        <w:t>Увеличение объёма мощности в секторе КОМ в связи с реализацией мощности двух генерирующих объектов</w:t>
      </w:r>
      <w:r w:rsidRPr="006E0572">
        <w:rPr>
          <w:rFonts w:ascii="Arial" w:hAnsi="Arial" w:cs="Arial"/>
          <w:sz w:val="24"/>
          <w:szCs w:val="24"/>
        </w:rPr>
        <w:t xml:space="preserve"> АО «Интер РАО -</w:t>
      </w:r>
      <w:proofErr w:type="spellStart"/>
      <w:r w:rsidRPr="006E0572">
        <w:rPr>
          <w:rFonts w:ascii="Arial" w:hAnsi="Arial" w:cs="Arial"/>
          <w:sz w:val="24"/>
          <w:szCs w:val="24"/>
        </w:rPr>
        <w:t>Электрогенерация</w:t>
      </w:r>
      <w:proofErr w:type="spellEnd"/>
      <w:r w:rsidRPr="006E0572">
        <w:rPr>
          <w:rFonts w:ascii="Arial" w:hAnsi="Arial" w:cs="Arial"/>
          <w:sz w:val="24"/>
          <w:szCs w:val="24"/>
        </w:rPr>
        <w:t>»</w:t>
      </w:r>
      <w:r w:rsidR="006E0572" w:rsidRPr="006E0572">
        <w:rPr>
          <w:rFonts w:ascii="Arial" w:hAnsi="Arial" w:cs="Arial"/>
          <w:sz w:val="24"/>
          <w:szCs w:val="24"/>
        </w:rPr>
        <w:t>,</w:t>
      </w:r>
      <w:r w:rsidRPr="006E0572">
        <w:rPr>
          <w:rFonts w:ascii="Arial" w:hAnsi="Arial" w:cs="Arial"/>
          <w:sz w:val="24"/>
          <w:szCs w:val="24"/>
        </w:rPr>
        <w:t xml:space="preserve"> по которым </w:t>
      </w:r>
      <w:r w:rsidRPr="006E0572">
        <w:rPr>
          <w:rFonts w:ascii="Arial" w:hAnsi="Arial" w:cs="Arial"/>
          <w:sz w:val="24"/>
          <w:szCs w:val="24"/>
        </w:rPr>
        <w:t>закончился срок действия ДПМ;</w:t>
      </w:r>
    </w:p>
    <w:p w14:paraId="7571514B" w14:textId="2CBFDA56" w:rsidR="00D46DF1" w:rsidRPr="006E0572" w:rsidRDefault="0011618A" w:rsidP="006E0572">
      <w:pPr>
        <w:pStyle w:val="aff6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E0572">
        <w:rPr>
          <w:rFonts w:ascii="Arial" w:hAnsi="Arial" w:cs="Arial"/>
          <w:sz w:val="24"/>
          <w:szCs w:val="24"/>
        </w:rPr>
        <w:t xml:space="preserve">Увеличение объёма мощности в секторе </w:t>
      </w:r>
      <w:proofErr w:type="spellStart"/>
      <w:r w:rsidRPr="006E0572">
        <w:rPr>
          <w:rFonts w:ascii="Arial" w:hAnsi="Arial" w:cs="Arial"/>
          <w:sz w:val="24"/>
          <w:szCs w:val="24"/>
        </w:rPr>
        <w:t>КОММод</w:t>
      </w:r>
      <w:proofErr w:type="spellEnd"/>
      <w:r w:rsidRPr="006E0572">
        <w:rPr>
          <w:rFonts w:ascii="Arial" w:hAnsi="Arial" w:cs="Arial"/>
          <w:sz w:val="24"/>
          <w:szCs w:val="24"/>
        </w:rPr>
        <w:t xml:space="preserve"> </w:t>
      </w:r>
      <w:r w:rsidRPr="006E0572">
        <w:rPr>
          <w:rFonts w:ascii="Arial" w:hAnsi="Arial" w:cs="Arial"/>
          <w:sz w:val="24"/>
          <w:szCs w:val="24"/>
        </w:rPr>
        <w:t xml:space="preserve">ввиду обновления мощности </w:t>
      </w:r>
      <w:r w:rsidR="006E0572" w:rsidRPr="006E0572">
        <w:rPr>
          <w:rFonts w:ascii="Arial" w:hAnsi="Arial" w:cs="Arial"/>
          <w:sz w:val="24"/>
          <w:szCs w:val="24"/>
        </w:rPr>
        <w:t>на пяти электростанциях</w:t>
      </w:r>
      <w:r w:rsidRPr="006E0572">
        <w:rPr>
          <w:rFonts w:ascii="Arial" w:hAnsi="Arial" w:cs="Arial"/>
          <w:sz w:val="24"/>
          <w:szCs w:val="24"/>
        </w:rPr>
        <w:t xml:space="preserve"> АО «Интер РАО - </w:t>
      </w:r>
      <w:proofErr w:type="spellStart"/>
      <w:r w:rsidRPr="006E0572">
        <w:rPr>
          <w:rFonts w:ascii="Arial" w:hAnsi="Arial" w:cs="Arial"/>
          <w:sz w:val="24"/>
          <w:szCs w:val="24"/>
        </w:rPr>
        <w:t>Электрогенерация</w:t>
      </w:r>
      <w:proofErr w:type="spellEnd"/>
      <w:r w:rsidRPr="006E0572">
        <w:rPr>
          <w:rFonts w:ascii="Arial" w:hAnsi="Arial" w:cs="Arial"/>
          <w:sz w:val="24"/>
          <w:szCs w:val="24"/>
        </w:rPr>
        <w:t>»</w:t>
      </w:r>
      <w:r w:rsidRPr="006E0572">
        <w:rPr>
          <w:rFonts w:ascii="Arial" w:hAnsi="Arial" w:cs="Arial"/>
          <w:sz w:val="24"/>
          <w:szCs w:val="24"/>
        </w:rPr>
        <w:t>;</w:t>
      </w:r>
    </w:p>
    <w:p w14:paraId="594A004A" w14:textId="06A2DCFF" w:rsidR="00D46DF1" w:rsidRPr="00257231" w:rsidRDefault="0011618A" w:rsidP="006E0572">
      <w:pPr>
        <w:pStyle w:val="aff6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257231">
        <w:rPr>
          <w:rFonts w:ascii="Arial" w:hAnsi="Arial" w:cs="Arial"/>
          <w:sz w:val="24"/>
          <w:szCs w:val="24"/>
          <w:lang w:val="ru-RU"/>
        </w:rPr>
        <w:t xml:space="preserve">Рост цен на энергетический уголь во </w:t>
      </w:r>
      <w:r w:rsidR="00257231">
        <w:rPr>
          <w:rFonts w:ascii="Arial" w:hAnsi="Arial" w:cs="Arial"/>
          <w:sz w:val="24"/>
          <w:szCs w:val="24"/>
          <w:lang w:val="ru-RU"/>
        </w:rPr>
        <w:t>второй</w:t>
      </w:r>
      <w:r w:rsidRPr="00257231">
        <w:rPr>
          <w:rFonts w:ascii="Arial" w:hAnsi="Arial" w:cs="Arial"/>
          <w:sz w:val="24"/>
          <w:szCs w:val="24"/>
          <w:lang w:val="ru-RU"/>
        </w:rPr>
        <w:t xml:space="preserve"> ценовой зоне</w:t>
      </w:r>
      <w:r w:rsidRPr="00257231">
        <w:rPr>
          <w:rFonts w:ascii="Arial" w:hAnsi="Arial" w:cs="Arial"/>
          <w:sz w:val="24"/>
          <w:szCs w:val="24"/>
          <w:lang w:val="ru-RU"/>
        </w:rPr>
        <w:t xml:space="preserve"> (по данным Росстат</w:t>
      </w:r>
      <w:r w:rsidR="00257231">
        <w:rPr>
          <w:rFonts w:ascii="Arial" w:hAnsi="Arial" w:cs="Arial"/>
          <w:sz w:val="24"/>
          <w:szCs w:val="24"/>
          <w:lang w:val="ru-RU"/>
        </w:rPr>
        <w:t>а,</w:t>
      </w:r>
      <w:r w:rsidRPr="00257231">
        <w:rPr>
          <w:rFonts w:ascii="Arial" w:hAnsi="Arial" w:cs="Arial"/>
          <w:sz w:val="24"/>
          <w:szCs w:val="24"/>
          <w:lang w:val="ru-RU"/>
        </w:rPr>
        <w:t xml:space="preserve"> цена бурого угля и каменного угля выросла </w:t>
      </w:r>
      <w:r w:rsidR="00257231" w:rsidRPr="00257231">
        <w:rPr>
          <w:rFonts w:ascii="Arial" w:hAnsi="Arial" w:cs="Arial"/>
          <w:sz w:val="24"/>
          <w:szCs w:val="24"/>
          <w:lang w:val="ru-RU"/>
        </w:rPr>
        <w:t>соответственно</w:t>
      </w:r>
      <w:r w:rsidR="00257231" w:rsidRPr="00257231">
        <w:rPr>
          <w:rFonts w:ascii="Arial" w:hAnsi="Arial" w:cs="Arial"/>
          <w:sz w:val="24"/>
          <w:szCs w:val="24"/>
          <w:lang w:val="ru-RU"/>
        </w:rPr>
        <w:t xml:space="preserve"> </w:t>
      </w:r>
      <w:r w:rsidRPr="00257231">
        <w:rPr>
          <w:rFonts w:ascii="Arial" w:hAnsi="Arial" w:cs="Arial"/>
          <w:sz w:val="24"/>
          <w:szCs w:val="24"/>
          <w:lang w:val="ru-RU"/>
        </w:rPr>
        <w:t>на 16,0% и 21,6%</w:t>
      </w:r>
      <w:r w:rsidRPr="00257231">
        <w:rPr>
          <w:rFonts w:ascii="Arial" w:hAnsi="Arial" w:cs="Arial"/>
          <w:sz w:val="24"/>
          <w:szCs w:val="24"/>
          <w:lang w:val="ru-RU"/>
        </w:rPr>
        <w:t>);</w:t>
      </w:r>
      <w:bookmarkStart w:id="1" w:name="_GoBack"/>
      <w:bookmarkEnd w:id="1"/>
    </w:p>
    <w:p w14:paraId="06F9FEBD" w14:textId="04A7C6C4" w:rsidR="00D46DF1" w:rsidRPr="00260358" w:rsidRDefault="0011618A" w:rsidP="006E0572">
      <w:pPr>
        <w:pStyle w:val="aff6"/>
        <w:numPr>
          <w:ilvl w:val="0"/>
          <w:numId w:val="34"/>
        </w:numPr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260358">
        <w:rPr>
          <w:rFonts w:ascii="Arial" w:hAnsi="Arial" w:cs="Arial"/>
          <w:sz w:val="24"/>
          <w:szCs w:val="24"/>
          <w:lang w:val="ru-RU"/>
        </w:rPr>
        <w:t xml:space="preserve">Влияние температурного фактора (в </w:t>
      </w:r>
      <w:r w:rsidR="006E0572" w:rsidRPr="00260358">
        <w:rPr>
          <w:rFonts w:ascii="Arial" w:hAnsi="Arial" w:cs="Arial"/>
          <w:sz w:val="24"/>
          <w:szCs w:val="24"/>
          <w:lang w:val="ru-RU"/>
        </w:rPr>
        <w:t>первом</w:t>
      </w:r>
      <w:r w:rsidRPr="006E0572">
        <w:rPr>
          <w:rFonts w:ascii="Arial" w:hAnsi="Arial" w:cs="Arial"/>
          <w:sz w:val="24"/>
          <w:szCs w:val="24"/>
        </w:rPr>
        <w:t> </w:t>
      </w:r>
      <w:r w:rsidRPr="00260358">
        <w:rPr>
          <w:rFonts w:ascii="Arial" w:hAnsi="Arial" w:cs="Arial"/>
          <w:sz w:val="24"/>
          <w:szCs w:val="24"/>
          <w:lang w:val="ru-RU"/>
        </w:rPr>
        <w:t>полугодии 2024 года температура окружающего воздуха в целом по ЕЭС Р</w:t>
      </w:r>
      <w:r w:rsidRPr="00260358">
        <w:rPr>
          <w:rFonts w:ascii="Arial" w:hAnsi="Arial" w:cs="Arial"/>
          <w:sz w:val="24"/>
          <w:szCs w:val="24"/>
          <w:lang w:val="ru-RU"/>
        </w:rPr>
        <w:t xml:space="preserve">оссии была ниже на 0,2°С по сравнению с </w:t>
      </w:r>
      <w:r w:rsidR="006E0572" w:rsidRPr="00260358">
        <w:rPr>
          <w:rFonts w:ascii="Arial" w:hAnsi="Arial" w:cs="Arial"/>
          <w:sz w:val="24"/>
          <w:szCs w:val="24"/>
          <w:lang w:val="ru-RU"/>
        </w:rPr>
        <w:t>первым</w:t>
      </w:r>
      <w:r w:rsidRPr="006E0572">
        <w:rPr>
          <w:rFonts w:ascii="Arial" w:hAnsi="Arial" w:cs="Arial"/>
          <w:sz w:val="24"/>
          <w:szCs w:val="24"/>
        </w:rPr>
        <w:t> </w:t>
      </w:r>
      <w:r w:rsidRPr="00260358">
        <w:rPr>
          <w:rFonts w:ascii="Arial" w:hAnsi="Arial" w:cs="Arial"/>
          <w:sz w:val="24"/>
          <w:szCs w:val="24"/>
          <w:lang w:val="ru-RU"/>
        </w:rPr>
        <w:t>полугодием 2023 года</w:t>
      </w:r>
      <w:r w:rsidR="006E0572">
        <w:rPr>
          <w:rFonts w:ascii="Arial" w:hAnsi="Arial" w:cs="Arial"/>
          <w:sz w:val="24"/>
          <w:szCs w:val="24"/>
          <w:lang w:val="ru-RU"/>
        </w:rPr>
        <w:t>)</w:t>
      </w:r>
      <w:r w:rsidRPr="00260358">
        <w:rPr>
          <w:rFonts w:ascii="Arial" w:hAnsi="Arial" w:cs="Arial"/>
          <w:sz w:val="24"/>
          <w:szCs w:val="24"/>
          <w:lang w:val="ru-RU"/>
        </w:rPr>
        <w:t>.</w:t>
      </w:r>
    </w:p>
    <w:p w14:paraId="3FAE42B2" w14:textId="77777777" w:rsidR="00D46DF1" w:rsidRDefault="00D46DF1">
      <w:pPr>
        <w:spacing w:before="120"/>
        <w:ind w:left="720"/>
        <w:jc w:val="both"/>
        <w:rPr>
          <w:rFonts w:ascii="Arial" w:hAnsi="Arial" w:cs="Arial"/>
          <w:highlight w:val="white"/>
        </w:rPr>
      </w:pPr>
    </w:p>
    <w:p w14:paraId="1B417CAF" w14:textId="77777777" w:rsidR="00D46DF1" w:rsidRDefault="0011618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электрогенерирующих активов: 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1"/>
        <w:gridCol w:w="1698"/>
        <w:gridCol w:w="1654"/>
        <w:gridCol w:w="1550"/>
        <w:gridCol w:w="1656"/>
      </w:tblGrid>
      <w:tr w:rsidR="00D46DF1" w14:paraId="52173732" w14:textId="77777777">
        <w:trPr>
          <w:tblCellSpacing w:w="15" w:type="dxa"/>
        </w:trPr>
        <w:tc>
          <w:tcPr>
            <w:tcW w:w="1570" w:type="pct"/>
            <w:vMerge w:val="restar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A590D22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Показатель* </w:t>
            </w:r>
          </w:p>
        </w:tc>
        <w:tc>
          <w:tcPr>
            <w:tcW w:w="1725" w:type="pct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55996BD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АО «Интер РАО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Электрогенерация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1641" w:type="pct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8F88BC7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ЗАО «Нижневартовская ГРЭС»</w:t>
            </w:r>
          </w:p>
        </w:tc>
      </w:tr>
      <w:tr w:rsidR="00D46DF1" w14:paraId="6BD8B76E" w14:textId="77777777">
        <w:trPr>
          <w:tblCellSpacing w:w="15" w:type="dxa"/>
        </w:trPr>
        <w:tc>
          <w:tcPr>
            <w:tcW w:w="1570" w:type="pct"/>
            <w:vMerge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vAlign w:val="center"/>
          </w:tcPr>
          <w:p w14:paraId="5FAD5433" w14:textId="77777777" w:rsidR="00D46DF1" w:rsidRDefault="00D46DF1">
            <w:pPr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74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7841CF8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8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25813E9" w14:textId="77777777" w:rsidR="00D46DF1" w:rsidRDefault="0011618A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797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800A5DD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828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BE7EF6B" w14:textId="77777777" w:rsidR="00D46DF1" w:rsidRDefault="0011618A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</w:tr>
      <w:tr w:rsidR="00D46DF1" w14:paraId="4FF91225" w14:textId="77777777">
        <w:trPr>
          <w:trHeight w:val="58"/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401F5D0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Выручка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A401A56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125,9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83F0CC3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(0,4%)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5D9858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9,0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4E49371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(26,7%)</w:t>
            </w:r>
          </w:p>
        </w:tc>
      </w:tr>
      <w:tr w:rsidR="00D46DF1" w14:paraId="2457F832" w14:textId="77777777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139E2D8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Себестоимость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4C0444C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F08EA8F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6,4%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41B265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7,5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09AF93B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(9,5%)</w:t>
            </w:r>
          </w:p>
        </w:tc>
      </w:tr>
      <w:tr w:rsidR="00D46DF1" w14:paraId="41526FFB" w14:textId="77777777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DD94CA3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Прибыль от продаж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45DE513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23,9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129FE44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(21,8%)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30C53FD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1,1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AFEF03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(69,5%)</w:t>
            </w:r>
          </w:p>
        </w:tc>
      </w:tr>
      <w:tr w:rsidR="00D46DF1" w14:paraId="42C2FE8B" w14:textId="77777777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29ECFA5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Чистая прибыль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190B026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36,0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6C29F62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26,3%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3695CEE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1,8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C1EC045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(48,0%)</w:t>
            </w:r>
          </w:p>
        </w:tc>
      </w:tr>
      <w:tr w:rsidR="00D46DF1" w14:paraId="6647EDEB" w14:textId="77777777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DABEE7D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Выработка электроэнергии, млрд кВт*ч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7E92300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42,6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5F09EED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8,9%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B0DC177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5,3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9C3C420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(8,8%)</w:t>
            </w:r>
          </w:p>
        </w:tc>
      </w:tr>
      <w:tr w:rsidR="00D46DF1" w14:paraId="20147F71" w14:textId="77777777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07F3898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Отпуск теплоэнергии с коллекторов, млн Гкал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BAB1275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2,2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CEFFA6E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(7,1%)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D672554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0,1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90FD96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5,3%</w:t>
            </w:r>
          </w:p>
        </w:tc>
      </w:tr>
    </w:tbl>
    <w:p w14:paraId="4D69D3EA" w14:textId="43B489B8" w:rsidR="00D46DF1" w:rsidRDefault="0011618A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 - в млрд рублей, если не указано иное</w:t>
      </w:r>
      <w:r w:rsidR="006E0572">
        <w:rPr>
          <w:rFonts w:ascii="Arial" w:hAnsi="Arial" w:cs="Arial"/>
          <w:i/>
          <w:iCs/>
          <w:sz w:val="18"/>
          <w:szCs w:val="18"/>
        </w:rPr>
        <w:t xml:space="preserve">. </w:t>
      </w:r>
    </w:p>
    <w:p w14:paraId="6FF384E2" w14:textId="77777777" w:rsidR="00D46DF1" w:rsidRDefault="00D46DF1">
      <w:pPr>
        <w:jc w:val="both"/>
        <w:rPr>
          <w:rFonts w:ascii="Arial" w:hAnsi="Arial" w:cs="Arial"/>
          <w:b/>
          <w:sz w:val="24"/>
          <w:szCs w:val="24"/>
        </w:rPr>
      </w:pPr>
    </w:p>
    <w:p w14:paraId="6C3DB9E0" w14:textId="77777777" w:rsidR="00D46DF1" w:rsidRDefault="00D46DF1">
      <w:pPr>
        <w:jc w:val="both"/>
        <w:rPr>
          <w:rFonts w:ascii="Arial" w:hAnsi="Arial" w:cs="Arial"/>
          <w:b/>
          <w:sz w:val="24"/>
          <w:szCs w:val="24"/>
        </w:rPr>
      </w:pPr>
    </w:p>
    <w:p w14:paraId="1710B63F" w14:textId="77777777" w:rsidR="00D46DF1" w:rsidRDefault="0011618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теплогенерирующих активов: 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1039"/>
        <w:gridCol w:w="1331"/>
        <w:gridCol w:w="927"/>
        <w:gridCol w:w="1444"/>
        <w:gridCol w:w="955"/>
        <w:gridCol w:w="1416"/>
      </w:tblGrid>
      <w:tr w:rsidR="00D46DF1" w14:paraId="75DF39A7" w14:textId="77777777">
        <w:trPr>
          <w:tblCellSpacing w:w="15" w:type="dxa"/>
        </w:trPr>
        <w:tc>
          <w:tcPr>
            <w:tcW w:w="2374" w:type="dxa"/>
            <w:vMerge w:val="restar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72C49B4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Показатель* </w:t>
            </w:r>
          </w:p>
        </w:tc>
        <w:tc>
          <w:tcPr>
            <w:tcW w:w="2276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9146EC8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ООО «БГК»</w:t>
            </w:r>
          </w:p>
        </w:tc>
        <w:tc>
          <w:tcPr>
            <w:tcW w:w="2277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FEADA2E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«ТГК-11»</w:t>
            </w:r>
          </w:p>
        </w:tc>
        <w:tc>
          <w:tcPr>
            <w:tcW w:w="2262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FC0E35E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«Томская генерация»</w:t>
            </w:r>
          </w:p>
        </w:tc>
      </w:tr>
      <w:tr w:rsidR="00D46DF1" w14:paraId="66EEAE01" w14:textId="77777777">
        <w:trPr>
          <w:tblCellSpacing w:w="15" w:type="dxa"/>
        </w:trPr>
        <w:tc>
          <w:tcPr>
            <w:tcW w:w="2374" w:type="dxa"/>
            <w:vMerge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vAlign w:val="center"/>
          </w:tcPr>
          <w:p w14:paraId="0FB3B7D4" w14:textId="77777777" w:rsidR="00D46DF1" w:rsidRDefault="00D46DF1">
            <w:pPr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C9FF2BD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1265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F303BBE" w14:textId="77777777" w:rsidR="00D46DF1" w:rsidRDefault="0011618A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872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8709DE6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1375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3664B09" w14:textId="77777777" w:rsidR="00D46DF1" w:rsidRDefault="0011618A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899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65960DF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1333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DE64B96" w14:textId="77777777" w:rsidR="00D46DF1" w:rsidRDefault="0011618A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пг</w:t>
            </w:r>
            <w:proofErr w:type="spellEnd"/>
          </w:p>
        </w:tc>
      </w:tr>
      <w:tr w:rsidR="00D46DF1" w14:paraId="11CE61B5" w14:textId="77777777">
        <w:trPr>
          <w:trHeight w:val="376"/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D964782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Выручка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9423CB0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36,4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D1F0C85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7,2%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B302953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13,9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1AE3B48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2,8%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42502D1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5,5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AE9AE3F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3,6%</w:t>
            </w:r>
          </w:p>
        </w:tc>
      </w:tr>
      <w:tr w:rsidR="00D46DF1" w14:paraId="2F87C332" w14:textId="77777777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58726C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Себестоимость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CE7B22E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28,5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FAB5B49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6,7%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BD9F1C8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12,6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31D8603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18,3%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EAADA6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5,0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B89C643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7,7%</w:t>
            </w:r>
          </w:p>
        </w:tc>
      </w:tr>
      <w:tr w:rsidR="00D46DF1" w14:paraId="07373BCB" w14:textId="77777777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6581A40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Прибыль от продаж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CF3CEDB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7,0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0539DF2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11,1%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2DF2675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0,9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5D30C4E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(65,7%)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C8BCFD8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0,2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AB1848E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(55,1%)</w:t>
            </w:r>
          </w:p>
        </w:tc>
      </w:tr>
      <w:tr w:rsidR="00D46DF1" w14:paraId="2D500133" w14:textId="77777777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CFD8621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Чистая прибыль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50F8058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EBBA096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33,8%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F0C748F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1,1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BE0522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(51,9%)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7BCE24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0,5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441D9DE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13,4%</w:t>
            </w:r>
          </w:p>
        </w:tc>
      </w:tr>
      <w:tr w:rsidR="00D46DF1" w14:paraId="04E80CEF" w14:textId="77777777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14ADC6A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Выработка электроэнергии, млрд кВт*ч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FF6B502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11,3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68AFA27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3,3%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CAB5746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2,9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43FFF9C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(1,1%)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63DBBCC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1,2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95A3676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(6,0%)</w:t>
            </w:r>
          </w:p>
        </w:tc>
      </w:tr>
      <w:tr w:rsidR="00D46DF1" w14:paraId="07CC09CF" w14:textId="77777777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544EBEA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Отпуск теплоэнергии с коллекторов, млн Гкал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01B4799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8,8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1969F62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4,3%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A6D5488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5,9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F50CEC1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14,3%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A18AACA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2,8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F5CD7B4" w14:textId="77777777" w:rsidR="00D46DF1" w:rsidRDefault="0011618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6,7%</w:t>
            </w:r>
          </w:p>
        </w:tc>
      </w:tr>
    </w:tbl>
    <w:p w14:paraId="39A0EF84" w14:textId="77777777" w:rsidR="00D46DF1" w:rsidRDefault="0011618A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 - в млрд рублей, если не указано иное</w:t>
      </w:r>
    </w:p>
    <w:p w14:paraId="6E115FF6" w14:textId="77777777" w:rsidR="00D46DF1" w:rsidRDefault="00D46DF1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</w:rPr>
      </w:pPr>
    </w:p>
    <w:p w14:paraId="2B9B455F" w14:textId="77777777" w:rsidR="00D46DF1" w:rsidRDefault="0011618A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Более подробно с результатами работы российских генерирующих компаний Группы «Интер РАО» по итогам I полугодия 2024 года в соответствии с РСБУ можно ознакомиться на официальных сайтах компаний:</w:t>
      </w:r>
    </w:p>
    <w:p w14:paraId="7EC121A7" w14:textId="77777777" w:rsidR="00D46DF1" w:rsidRDefault="00D46DF1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2400"/>
        <w:gridCol w:w="2400"/>
        <w:gridCol w:w="2400"/>
      </w:tblGrid>
      <w:tr w:rsidR="00D46DF1" w14:paraId="307C3ED8" w14:textId="77777777">
        <w:trPr>
          <w:tblCellSpacing w:w="15" w:type="dxa"/>
        </w:trPr>
        <w:tc>
          <w:tcPr>
            <w:tcW w:w="1226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2350332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АО «Интер РАО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Электрогенерация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» и «Нижневартовская ГРЭС»</w:t>
            </w:r>
          </w:p>
        </w:tc>
        <w:tc>
          <w:tcPr>
            <w:tcW w:w="12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6C874FF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ОО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 «БГК»</w:t>
            </w:r>
          </w:p>
        </w:tc>
        <w:tc>
          <w:tcPr>
            <w:tcW w:w="12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33D40B0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«ТГК-11»</w:t>
            </w:r>
          </w:p>
        </w:tc>
        <w:tc>
          <w:tcPr>
            <w:tcW w:w="1227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FE788EA" w14:textId="77777777" w:rsidR="00D46DF1" w:rsidRDefault="0011618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«Томская генерация»</w:t>
            </w:r>
          </w:p>
        </w:tc>
      </w:tr>
      <w:tr w:rsidR="00D46DF1" w14:paraId="15DD75B0" w14:textId="77777777">
        <w:trPr>
          <w:tblCellSpacing w:w="15" w:type="dxa"/>
        </w:trPr>
        <w:tc>
          <w:tcPr>
            <w:tcW w:w="122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983A309" w14:textId="77777777" w:rsidR="00D46DF1" w:rsidRDefault="0011618A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https://irao-generation.ru/</w:t>
            </w:r>
          </w:p>
        </w:tc>
        <w:tc>
          <w:tcPr>
            <w:tcW w:w="12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A125D72" w14:textId="77777777" w:rsidR="00D46DF1" w:rsidRDefault="0011618A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https://bgkrb.ru/</w:t>
            </w:r>
          </w:p>
          <w:p w14:paraId="6D97BBB3" w14:textId="77777777" w:rsidR="00D46DF1" w:rsidRDefault="00D46DF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2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108A155" w14:textId="77777777" w:rsidR="00D46DF1" w:rsidRDefault="0011618A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https://tgk11.com/</w:t>
            </w:r>
          </w:p>
        </w:tc>
        <w:tc>
          <w:tcPr>
            <w:tcW w:w="122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3223BE0" w14:textId="77777777" w:rsidR="00D46DF1" w:rsidRDefault="0011618A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https://energo.tom.ru/</w:t>
            </w:r>
          </w:p>
          <w:p w14:paraId="03600647" w14:textId="77777777" w:rsidR="00D46DF1" w:rsidRDefault="00D46DF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</w:p>
        </w:tc>
      </w:tr>
      <w:bookmarkEnd w:id="0"/>
    </w:tbl>
    <w:p w14:paraId="6BF894A3" w14:textId="77777777" w:rsidR="00D46DF1" w:rsidRDefault="00D46DF1">
      <w:pPr>
        <w:jc w:val="center"/>
        <w:rPr>
          <w:rFonts w:ascii="Arial" w:eastAsia="Times New Roman" w:hAnsi="Arial" w:cs="Arial"/>
          <w:i/>
          <w:iCs/>
          <w:color w:val="FF0000"/>
          <w:sz w:val="24"/>
          <w:szCs w:val="24"/>
        </w:rPr>
      </w:pPr>
    </w:p>
    <w:sectPr w:rsidR="00D46DF1">
      <w:footerReference w:type="default" r:id="rId18"/>
      <w:footerReference w:type="first" r:id="rId19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D6924" w14:textId="77777777" w:rsidR="0011618A" w:rsidRDefault="0011618A">
      <w:r>
        <w:separator/>
      </w:r>
    </w:p>
  </w:endnote>
  <w:endnote w:type="continuationSeparator" w:id="0">
    <w:p w14:paraId="07A8F7C5" w14:textId="77777777" w:rsidR="0011618A" w:rsidRDefault="0011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AA799" w14:textId="77777777" w:rsidR="00D46DF1" w:rsidRDefault="00D46DF1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D46DF1" w14:paraId="382E3393" w14:textId="77777777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14:paraId="794AABBC" w14:textId="77777777" w:rsidR="006E0572" w:rsidRDefault="006E0572" w:rsidP="006E0572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14:paraId="38A54AAA" w14:textId="3D20C204" w:rsidR="00D46DF1" w:rsidRDefault="006E0572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14:paraId="5F7D63BE" w14:textId="77777777" w:rsidR="00D46DF1" w:rsidRDefault="00D46DF1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25A1E" w14:textId="77777777" w:rsidR="00D46DF1" w:rsidRDefault="00D46DF1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D46DF1" w14:paraId="7D2F5003" w14:textId="77777777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14:paraId="3A47E8A5" w14:textId="77777777" w:rsidR="00D46DF1" w:rsidRDefault="0011618A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14:paraId="73B4E12C" w14:textId="77777777" w:rsidR="00D46DF1" w:rsidRDefault="0011618A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14:paraId="1B1D8D2F" w14:textId="77777777" w:rsidR="00D46DF1" w:rsidRDefault="00D46DF1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ED9E" w14:textId="77777777" w:rsidR="0011618A" w:rsidRDefault="0011618A">
      <w:r>
        <w:separator/>
      </w:r>
    </w:p>
  </w:footnote>
  <w:footnote w:type="continuationSeparator" w:id="0">
    <w:p w14:paraId="1AE0D04A" w14:textId="77777777" w:rsidR="0011618A" w:rsidRDefault="00116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65F82"/>
    <w:multiLevelType w:val="hybridMultilevel"/>
    <w:tmpl w:val="B0DC5BCC"/>
    <w:lvl w:ilvl="0" w:tplc="F5A66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630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D60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02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4D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3A4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2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FAB5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27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A1"/>
    <w:multiLevelType w:val="hybridMultilevel"/>
    <w:tmpl w:val="96B8A526"/>
    <w:lvl w:ilvl="0" w:tplc="35EE7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A02A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0CD8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9C6B9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0308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285FC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9099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B8E32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5C62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3128D6"/>
    <w:multiLevelType w:val="hybridMultilevel"/>
    <w:tmpl w:val="989C1A90"/>
    <w:lvl w:ilvl="0" w:tplc="80DA8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0E1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6C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CA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CBC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A4E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A5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CA23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226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D26EF"/>
    <w:multiLevelType w:val="hybridMultilevel"/>
    <w:tmpl w:val="BBB0C356"/>
    <w:lvl w:ilvl="0" w:tplc="7654D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4489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7810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EA7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4D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087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1E0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1AD6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44A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60664"/>
    <w:multiLevelType w:val="hybridMultilevel"/>
    <w:tmpl w:val="97E82144"/>
    <w:lvl w:ilvl="0" w:tplc="980681F8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A928E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CA5C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2888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1A89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1C4A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00D2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DE53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C1F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022419"/>
    <w:multiLevelType w:val="hybridMultilevel"/>
    <w:tmpl w:val="161CAFC2"/>
    <w:lvl w:ilvl="0" w:tplc="407E7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E6B7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2B9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40B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E3F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80D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29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294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44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5526"/>
    <w:multiLevelType w:val="hybridMultilevel"/>
    <w:tmpl w:val="CDF0F3EA"/>
    <w:lvl w:ilvl="0" w:tplc="E1A662C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78CDB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886A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343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C66A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543C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AEA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9ABC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CC21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05EA7"/>
    <w:multiLevelType w:val="hybridMultilevel"/>
    <w:tmpl w:val="D2C8E4A0"/>
    <w:lvl w:ilvl="0" w:tplc="59207DE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A56DB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460CB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92AC8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EDA781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C72F84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66D0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7C8E7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1A40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5D5FA9"/>
    <w:multiLevelType w:val="hybridMultilevel"/>
    <w:tmpl w:val="34CAB054"/>
    <w:lvl w:ilvl="0" w:tplc="FAC61CC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6E876C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622287A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DFAD1A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C1DED3D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95667C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57247898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FE81B2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5F803EE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03420F9"/>
    <w:multiLevelType w:val="hybridMultilevel"/>
    <w:tmpl w:val="33FCBFD2"/>
    <w:lvl w:ilvl="0" w:tplc="8A4C0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B4FE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9C98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9A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4F5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AC7A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0829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3A8F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B408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92523B"/>
    <w:multiLevelType w:val="hybridMultilevel"/>
    <w:tmpl w:val="ED929818"/>
    <w:lvl w:ilvl="0" w:tplc="73B2E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8F6CC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AE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C3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A93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FCAE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CE6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4D8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41C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103F8"/>
    <w:multiLevelType w:val="hybridMultilevel"/>
    <w:tmpl w:val="C05AC16E"/>
    <w:lvl w:ilvl="0" w:tplc="54AE041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BA4ED80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1B8EBA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600C67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6A826E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7344C4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A226D6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4527BC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C88519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E93144"/>
    <w:multiLevelType w:val="hybridMultilevel"/>
    <w:tmpl w:val="98744364"/>
    <w:lvl w:ilvl="0" w:tplc="DC72A4D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CF6AA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D45C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8217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0AF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AAC2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4C48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86D3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C86A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967FC"/>
    <w:multiLevelType w:val="hybridMultilevel"/>
    <w:tmpl w:val="F9A2614E"/>
    <w:lvl w:ilvl="0" w:tplc="8B9085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0045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00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CBF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64E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66AE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724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0E7A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EF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27837"/>
    <w:multiLevelType w:val="hybridMultilevel"/>
    <w:tmpl w:val="46CEB3C6"/>
    <w:lvl w:ilvl="0" w:tplc="60505E8E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7104F00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1CF06218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A704EEEC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7AB6FE0A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A3ACC8E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3603DE0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C7A6B6A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5340780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3D231786"/>
    <w:multiLevelType w:val="hybridMultilevel"/>
    <w:tmpl w:val="4BC40A2A"/>
    <w:lvl w:ilvl="0" w:tplc="6714F30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C0475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3CBC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0E72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6FE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400A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4C7C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1E05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FE35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C5318"/>
    <w:multiLevelType w:val="hybridMultilevel"/>
    <w:tmpl w:val="06601358"/>
    <w:lvl w:ilvl="0" w:tplc="883E395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6C8FD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B6C5E9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96A8BB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8ECE11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58EE3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7F6ACD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2A2D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E06D9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1FF0D3A"/>
    <w:multiLevelType w:val="hybridMultilevel"/>
    <w:tmpl w:val="23364586"/>
    <w:lvl w:ilvl="0" w:tplc="8BA6D13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4E70A4A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2EEF5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CFA7D4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9BAE19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AFA483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94611B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FD6A71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A0441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2FB68F0"/>
    <w:multiLevelType w:val="hybridMultilevel"/>
    <w:tmpl w:val="365A6BDC"/>
    <w:lvl w:ilvl="0" w:tplc="67C44B0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DE58591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A044D1A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DA2EC92E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9130402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9A0ADAB4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E01E7494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B0985670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6D780DE2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43013BF3"/>
    <w:multiLevelType w:val="hybridMultilevel"/>
    <w:tmpl w:val="2BC228B4"/>
    <w:lvl w:ilvl="0" w:tplc="F6B4E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49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25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C049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6AA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CF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FE0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C1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A8F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11982"/>
    <w:multiLevelType w:val="hybridMultilevel"/>
    <w:tmpl w:val="81229114"/>
    <w:lvl w:ilvl="0" w:tplc="445A865E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3B06D0F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1F645F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9C4D46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246D29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00134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99A43C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608AA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FCACF8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6656F93"/>
    <w:multiLevelType w:val="hybridMultilevel"/>
    <w:tmpl w:val="6BB46784"/>
    <w:lvl w:ilvl="0" w:tplc="8DA67B5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9961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C43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C8FF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E0E6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C04E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BA80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780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A88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670471"/>
    <w:multiLevelType w:val="hybridMultilevel"/>
    <w:tmpl w:val="22E074B2"/>
    <w:lvl w:ilvl="0" w:tplc="3B9E9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4A4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BEF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27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0DC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3CB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847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27D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B2C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967FB"/>
    <w:multiLevelType w:val="hybridMultilevel"/>
    <w:tmpl w:val="CDC0C0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532A47"/>
    <w:multiLevelType w:val="hybridMultilevel"/>
    <w:tmpl w:val="3238D92C"/>
    <w:lvl w:ilvl="0" w:tplc="F0D81E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42689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4071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A2D3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2B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845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92DC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6B19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5A7C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4C42E2"/>
    <w:multiLevelType w:val="hybridMultilevel"/>
    <w:tmpl w:val="249E06BA"/>
    <w:lvl w:ilvl="0" w:tplc="7BCCC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F2F9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476169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14767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770C43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2E4AF2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8828C0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11EC1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C5C255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F46313E"/>
    <w:multiLevelType w:val="hybridMultilevel"/>
    <w:tmpl w:val="B7944EC0"/>
    <w:lvl w:ilvl="0" w:tplc="948A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9C5182">
      <w:start w:val="1"/>
      <w:numFmt w:val="lowerLetter"/>
      <w:lvlText w:val="%2."/>
      <w:lvlJc w:val="left"/>
      <w:pPr>
        <w:ind w:left="1440" w:hanging="360"/>
      </w:pPr>
    </w:lvl>
    <w:lvl w:ilvl="2" w:tplc="5BE006A6">
      <w:start w:val="1"/>
      <w:numFmt w:val="lowerRoman"/>
      <w:lvlText w:val="%3."/>
      <w:lvlJc w:val="right"/>
      <w:pPr>
        <w:ind w:left="2160" w:hanging="180"/>
      </w:pPr>
    </w:lvl>
    <w:lvl w:ilvl="3" w:tplc="4F001068">
      <w:start w:val="1"/>
      <w:numFmt w:val="decimal"/>
      <w:lvlText w:val="%4."/>
      <w:lvlJc w:val="left"/>
      <w:pPr>
        <w:ind w:left="2880" w:hanging="360"/>
      </w:pPr>
    </w:lvl>
    <w:lvl w:ilvl="4" w:tplc="EAD0EF40">
      <w:start w:val="1"/>
      <w:numFmt w:val="lowerLetter"/>
      <w:lvlText w:val="%5."/>
      <w:lvlJc w:val="left"/>
      <w:pPr>
        <w:ind w:left="3600" w:hanging="360"/>
      </w:pPr>
    </w:lvl>
    <w:lvl w:ilvl="5" w:tplc="2F96D946">
      <w:start w:val="1"/>
      <w:numFmt w:val="lowerRoman"/>
      <w:lvlText w:val="%6."/>
      <w:lvlJc w:val="right"/>
      <w:pPr>
        <w:ind w:left="4320" w:hanging="180"/>
      </w:pPr>
    </w:lvl>
    <w:lvl w:ilvl="6" w:tplc="F9DAD6EA">
      <w:start w:val="1"/>
      <w:numFmt w:val="decimal"/>
      <w:lvlText w:val="%7."/>
      <w:lvlJc w:val="left"/>
      <w:pPr>
        <w:ind w:left="5040" w:hanging="360"/>
      </w:pPr>
    </w:lvl>
    <w:lvl w:ilvl="7" w:tplc="5450F244">
      <w:start w:val="1"/>
      <w:numFmt w:val="lowerLetter"/>
      <w:lvlText w:val="%8."/>
      <w:lvlJc w:val="left"/>
      <w:pPr>
        <w:ind w:left="5760" w:hanging="360"/>
      </w:pPr>
    </w:lvl>
    <w:lvl w:ilvl="8" w:tplc="CED8E71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74846"/>
    <w:multiLevelType w:val="hybridMultilevel"/>
    <w:tmpl w:val="CD4E9F4C"/>
    <w:lvl w:ilvl="0" w:tplc="BC9A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D8B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C4F9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2ACA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1808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2445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527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9435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C26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5E02D5"/>
    <w:multiLevelType w:val="hybridMultilevel"/>
    <w:tmpl w:val="98767D3C"/>
    <w:lvl w:ilvl="0" w:tplc="E6F4D6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C458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CFE90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821E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76EE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D0826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6C21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D485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FE9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C4593A"/>
    <w:multiLevelType w:val="hybridMultilevel"/>
    <w:tmpl w:val="8A86B026"/>
    <w:lvl w:ilvl="0" w:tplc="33189D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ACD564">
      <w:start w:val="1"/>
      <w:numFmt w:val="lowerLetter"/>
      <w:lvlText w:val="%2."/>
      <w:lvlJc w:val="left"/>
      <w:pPr>
        <w:ind w:left="1440" w:hanging="360"/>
      </w:pPr>
    </w:lvl>
    <w:lvl w:ilvl="2" w:tplc="E4FE747C">
      <w:start w:val="1"/>
      <w:numFmt w:val="lowerRoman"/>
      <w:lvlText w:val="%3."/>
      <w:lvlJc w:val="right"/>
      <w:pPr>
        <w:ind w:left="2160" w:hanging="180"/>
      </w:pPr>
    </w:lvl>
    <w:lvl w:ilvl="3" w:tplc="5DF891E6">
      <w:start w:val="1"/>
      <w:numFmt w:val="decimal"/>
      <w:lvlText w:val="%4."/>
      <w:lvlJc w:val="left"/>
      <w:pPr>
        <w:ind w:left="2880" w:hanging="360"/>
      </w:pPr>
    </w:lvl>
    <w:lvl w:ilvl="4" w:tplc="A8703C66">
      <w:start w:val="1"/>
      <w:numFmt w:val="lowerLetter"/>
      <w:lvlText w:val="%5."/>
      <w:lvlJc w:val="left"/>
      <w:pPr>
        <w:ind w:left="3600" w:hanging="360"/>
      </w:pPr>
    </w:lvl>
    <w:lvl w:ilvl="5" w:tplc="A32EB000">
      <w:start w:val="1"/>
      <w:numFmt w:val="lowerRoman"/>
      <w:lvlText w:val="%6."/>
      <w:lvlJc w:val="right"/>
      <w:pPr>
        <w:ind w:left="4320" w:hanging="180"/>
      </w:pPr>
    </w:lvl>
    <w:lvl w:ilvl="6" w:tplc="8286D608">
      <w:start w:val="1"/>
      <w:numFmt w:val="decimal"/>
      <w:lvlText w:val="%7."/>
      <w:lvlJc w:val="left"/>
      <w:pPr>
        <w:ind w:left="5040" w:hanging="360"/>
      </w:pPr>
    </w:lvl>
    <w:lvl w:ilvl="7" w:tplc="9AE02EDA">
      <w:start w:val="1"/>
      <w:numFmt w:val="lowerLetter"/>
      <w:lvlText w:val="%8."/>
      <w:lvlJc w:val="left"/>
      <w:pPr>
        <w:ind w:left="5760" w:hanging="360"/>
      </w:pPr>
    </w:lvl>
    <w:lvl w:ilvl="8" w:tplc="CFC43A8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5363"/>
    <w:multiLevelType w:val="hybridMultilevel"/>
    <w:tmpl w:val="7C4283E0"/>
    <w:lvl w:ilvl="0" w:tplc="A89E4CF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A7883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6C7E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B2827A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64E772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CC40D0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8DADDB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A0E55E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69A550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5B6284"/>
    <w:multiLevelType w:val="hybridMultilevel"/>
    <w:tmpl w:val="71B6C17E"/>
    <w:lvl w:ilvl="0" w:tplc="79AAD29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64C1E9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E0D17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A8FD3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AA4C7A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28AE1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1E31F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EE835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3B83BC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C0306A"/>
    <w:multiLevelType w:val="hybridMultilevel"/>
    <w:tmpl w:val="32B826C0"/>
    <w:lvl w:ilvl="0" w:tplc="E59E6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B274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4C8D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08EA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885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68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C8A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549F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8ACF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0"/>
  </w:num>
  <w:num w:numId="3">
    <w:abstractNumId w:val="27"/>
  </w:num>
  <w:num w:numId="4">
    <w:abstractNumId w:val="1"/>
  </w:num>
  <w:num w:numId="5">
    <w:abstractNumId w:val="25"/>
  </w:num>
  <w:num w:numId="6">
    <w:abstractNumId w:val="32"/>
  </w:num>
  <w:num w:numId="7">
    <w:abstractNumId w:val="3"/>
  </w:num>
  <w:num w:numId="8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6"/>
  </w:num>
  <w:num w:numId="13">
    <w:abstractNumId w:val="14"/>
  </w:num>
  <w:num w:numId="14">
    <w:abstractNumId w:val="4"/>
  </w:num>
  <w:num w:numId="15">
    <w:abstractNumId w:val="24"/>
  </w:num>
  <w:num w:numId="16">
    <w:abstractNumId w:val="29"/>
  </w:num>
  <w:num w:numId="17">
    <w:abstractNumId w:val="26"/>
  </w:num>
  <w:num w:numId="18">
    <w:abstractNumId w:val="13"/>
  </w:num>
  <w:num w:numId="19">
    <w:abstractNumId w:val="16"/>
  </w:num>
  <w:num w:numId="20">
    <w:abstractNumId w:val="17"/>
  </w:num>
  <w:num w:numId="21">
    <w:abstractNumId w:val="11"/>
  </w:num>
  <w:num w:numId="22">
    <w:abstractNumId w:val="7"/>
  </w:num>
  <w:num w:numId="23">
    <w:abstractNumId w:val="2"/>
  </w:num>
  <w:num w:numId="24">
    <w:abstractNumId w:val="19"/>
  </w:num>
  <w:num w:numId="25">
    <w:abstractNumId w:val="30"/>
  </w:num>
  <w:num w:numId="26">
    <w:abstractNumId w:val="31"/>
  </w:num>
  <w:num w:numId="27">
    <w:abstractNumId w:val="28"/>
  </w:num>
  <w:num w:numId="28">
    <w:abstractNumId w:val="0"/>
  </w:num>
  <w:num w:numId="29">
    <w:abstractNumId w:val="18"/>
  </w:num>
  <w:num w:numId="30">
    <w:abstractNumId w:val="8"/>
  </w:num>
  <w:num w:numId="31">
    <w:abstractNumId w:val="10"/>
  </w:num>
  <w:num w:numId="32">
    <w:abstractNumId w:val="5"/>
  </w:num>
  <w:num w:numId="33">
    <w:abstractNumId w:val="2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DF1"/>
    <w:rsid w:val="0011618A"/>
    <w:rsid w:val="00257231"/>
    <w:rsid w:val="00260358"/>
    <w:rsid w:val="006E0572"/>
    <w:rsid w:val="00D4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0191"/>
  <w15:docId w15:val="{6164E400-453D-4E27-92D0-6B0F7CAC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4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6CA4353-84B6-412F-B70D-07D0F473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3</cp:revision>
  <dcterms:created xsi:type="dcterms:W3CDTF">2024-07-24T15:34:00Z</dcterms:created>
  <dcterms:modified xsi:type="dcterms:W3CDTF">2024-07-24T15:37:00Z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